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0E" w:rsidRDefault="00CB5A0E" w:rsidP="00CB5A0E">
      <w:pPr>
        <w:pStyle w:val="a4"/>
        <w:spacing w:afterLines="50" w:after="156" w:line="500" w:lineRule="exact"/>
        <w:ind w:firstLineChars="0" w:firstLine="0"/>
        <w:rPr>
          <w:rFonts w:hint="eastAsia"/>
        </w:rPr>
      </w:pPr>
      <w:r>
        <w:rPr>
          <w:rFonts w:hint="eastAsia"/>
        </w:rPr>
        <w:t>附件：</w:t>
      </w:r>
    </w:p>
    <w:p w:rsidR="00CB5A0E" w:rsidRDefault="00CB5A0E" w:rsidP="00CB5A0E">
      <w:pPr>
        <w:pStyle w:val="a4"/>
        <w:ind w:leftChars="200" w:left="1324" w:hangingChars="250" w:hanging="904"/>
        <w:jc w:val="center"/>
        <w:rPr>
          <w:rFonts w:ascii="仿宋_GB2312" w:eastAsia="仿宋_GB2312" w:hAnsi="仿宋_GB2312" w:hint="eastAsia"/>
          <w:b/>
          <w:bCs/>
          <w:sz w:val="36"/>
          <w:szCs w:val="36"/>
        </w:rPr>
      </w:pPr>
      <w:bookmarkStart w:id="0" w:name="_GoBack"/>
      <w:r>
        <w:rPr>
          <w:rFonts w:ascii="仿宋_GB2312" w:eastAsia="仿宋_GB2312" w:hAnsi="仿宋_GB2312" w:hint="eastAsia"/>
          <w:b/>
          <w:bCs/>
          <w:sz w:val="36"/>
          <w:szCs w:val="36"/>
        </w:rPr>
        <w:t>2019年通信网络运行安全暨通信安全生产工作</w:t>
      </w:r>
    </w:p>
    <w:p w:rsidR="00CB5A0E" w:rsidRDefault="00CB5A0E" w:rsidP="00CB5A0E">
      <w:pPr>
        <w:pStyle w:val="a4"/>
        <w:ind w:leftChars="200" w:left="1324" w:hangingChars="250" w:hanging="904"/>
        <w:jc w:val="center"/>
        <w:rPr>
          <w:rFonts w:ascii="仿宋_GB2312" w:eastAsia="仿宋_GB2312" w:hAnsi="仿宋_GB2312"/>
          <w:b/>
          <w:bCs/>
          <w:sz w:val="36"/>
          <w:szCs w:val="36"/>
        </w:rPr>
      </w:pPr>
      <w:r>
        <w:rPr>
          <w:rFonts w:ascii="仿宋_GB2312" w:eastAsia="仿宋_GB2312" w:hAnsi="仿宋_GB2312" w:hint="eastAsia"/>
          <w:b/>
          <w:bCs/>
          <w:sz w:val="36"/>
          <w:szCs w:val="36"/>
        </w:rPr>
        <w:t>责任分工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50"/>
        <w:gridCol w:w="5528"/>
        <w:gridCol w:w="2405"/>
      </w:tblGrid>
      <w:tr w:rsidR="00CB5A0E" w:rsidTr="006F5AD0">
        <w:trPr>
          <w:trHeight w:val="231"/>
          <w:jc w:val="center"/>
        </w:trPr>
        <w:tc>
          <w:tcPr>
            <w:tcW w:w="1798" w:type="dxa"/>
            <w:vAlign w:val="center"/>
          </w:tcPr>
          <w:bookmarkEnd w:id="0"/>
          <w:p w:rsidR="00CB5A0E" w:rsidRDefault="00CB5A0E" w:rsidP="006F5AD0">
            <w:pPr>
              <w:pStyle w:val="a3"/>
              <w:spacing w:line="240" w:lineRule="auto"/>
              <w:jc w:val="center"/>
              <w:rPr>
                <w:rFonts w:hAnsi="方正仿宋_GBK" w:cs="方正仿宋_GBK" w:hint="eastAsia"/>
                <w:b/>
                <w:szCs w:val="32"/>
              </w:rPr>
            </w:pPr>
            <w:r>
              <w:rPr>
                <w:rFonts w:hAnsi="方正仿宋_GBK" w:cs="方正仿宋_GBK" w:hint="eastAsia"/>
                <w:b/>
                <w:szCs w:val="32"/>
              </w:rPr>
              <w:t>序号</w:t>
            </w:r>
          </w:p>
        </w:tc>
        <w:tc>
          <w:tcPr>
            <w:tcW w:w="6378" w:type="dxa"/>
            <w:gridSpan w:val="2"/>
            <w:vAlign w:val="center"/>
          </w:tcPr>
          <w:p w:rsidR="00CB5A0E" w:rsidRDefault="00CB5A0E" w:rsidP="006F5AD0">
            <w:pPr>
              <w:pStyle w:val="a3"/>
              <w:ind w:leftChars="-56" w:left="-118"/>
              <w:jc w:val="center"/>
              <w:rPr>
                <w:rFonts w:hAnsi="方正仿宋_GBK" w:cs="方正仿宋_GBK" w:hint="eastAsia"/>
                <w:b/>
                <w:szCs w:val="32"/>
              </w:rPr>
            </w:pPr>
            <w:r>
              <w:rPr>
                <w:rFonts w:hAnsi="方正仿宋_GBK" w:cs="方正仿宋_GBK" w:hint="eastAsia"/>
                <w:b/>
                <w:szCs w:val="32"/>
              </w:rPr>
              <w:t>工作要求</w:t>
            </w:r>
          </w:p>
        </w:tc>
        <w:tc>
          <w:tcPr>
            <w:tcW w:w="2405" w:type="dxa"/>
            <w:vAlign w:val="center"/>
          </w:tcPr>
          <w:p w:rsidR="00CB5A0E" w:rsidRDefault="00CB5A0E" w:rsidP="006F5AD0">
            <w:pPr>
              <w:pStyle w:val="a3"/>
              <w:spacing w:line="240" w:lineRule="auto"/>
              <w:jc w:val="center"/>
              <w:rPr>
                <w:rFonts w:hAnsi="方正仿宋_GBK" w:cs="方正仿宋_GBK" w:hint="eastAsia"/>
                <w:b/>
                <w:szCs w:val="32"/>
              </w:rPr>
            </w:pPr>
            <w:r>
              <w:rPr>
                <w:rFonts w:hAnsi="方正仿宋_GBK" w:cs="方正仿宋_GBK" w:hint="eastAsia"/>
                <w:b/>
                <w:szCs w:val="32"/>
              </w:rPr>
              <w:t>责任单位</w:t>
            </w:r>
          </w:p>
        </w:tc>
      </w:tr>
      <w:tr w:rsidR="00CB5A0E" w:rsidTr="006F5AD0">
        <w:trPr>
          <w:trHeight w:val="2284"/>
          <w:jc w:val="center"/>
        </w:trPr>
        <w:tc>
          <w:tcPr>
            <w:tcW w:w="1798" w:type="dxa"/>
            <w:vMerge w:val="restart"/>
            <w:vAlign w:val="center"/>
          </w:tcPr>
          <w:p w:rsidR="00CB5A0E" w:rsidRDefault="00CB5A0E" w:rsidP="006F5AD0">
            <w:pPr>
              <w:pStyle w:val="a3"/>
              <w:spacing w:line="480" w:lineRule="exact"/>
              <w:jc w:val="center"/>
              <w:rPr>
                <w:rFonts w:hint="eastAsia"/>
                <w:b/>
                <w:w w:val="110"/>
                <w:szCs w:val="32"/>
              </w:rPr>
            </w:pPr>
            <w:r>
              <w:rPr>
                <w:rFonts w:hint="eastAsia"/>
                <w:b/>
                <w:w w:val="110"/>
                <w:szCs w:val="32"/>
              </w:rPr>
              <w:t>一、提高站位增强责任担当</w:t>
            </w:r>
          </w:p>
        </w:tc>
        <w:tc>
          <w:tcPr>
            <w:tcW w:w="850" w:type="dxa"/>
            <w:vAlign w:val="center"/>
          </w:tcPr>
          <w:p w:rsidR="00CB5A0E" w:rsidRDefault="00CB5A0E" w:rsidP="006F5AD0">
            <w:pPr>
              <w:pStyle w:val="a3"/>
              <w:spacing w:beforeLines="50" w:before="156" w:afterLines="40" w:after="124" w:line="360" w:lineRule="exact"/>
              <w:jc w:val="center"/>
              <w:rPr>
                <w:rFonts w:hAnsi="方正仿宋_GBK" w:cs="方正仿宋_GBK" w:hint="eastAsia"/>
                <w:sz w:val="28"/>
                <w:szCs w:val="28"/>
              </w:rPr>
            </w:pPr>
            <w:r>
              <w:rPr>
                <w:rFonts w:hint="eastAsia"/>
                <w:w w:val="110"/>
                <w:sz w:val="28"/>
                <w:szCs w:val="28"/>
              </w:rPr>
              <w:t>1</w:t>
            </w:r>
          </w:p>
        </w:tc>
        <w:tc>
          <w:tcPr>
            <w:tcW w:w="5528" w:type="dxa"/>
            <w:vAlign w:val="center"/>
          </w:tcPr>
          <w:p w:rsidR="00CB5A0E" w:rsidRDefault="00CB5A0E" w:rsidP="006F5AD0">
            <w:pPr>
              <w:pStyle w:val="a3"/>
              <w:spacing w:line="360" w:lineRule="exact"/>
              <w:rPr>
                <w:rFonts w:hAnsi="方正仿宋_GBK" w:cs="方正仿宋_GBK" w:hint="eastAsia"/>
                <w:sz w:val="28"/>
                <w:szCs w:val="28"/>
              </w:rPr>
            </w:pPr>
            <w:r>
              <w:rPr>
                <w:rFonts w:hint="eastAsia"/>
                <w:w w:val="110"/>
                <w:sz w:val="28"/>
                <w:szCs w:val="28"/>
              </w:rPr>
              <w:t>认真学习领会习近平总书记等中央领导同志关于安全生产工作的重要指示批示精神，全面落实《中共中央国务院关于推进安全生产领域改革发展的意见》（中〔2016〕32号）等文件要求，提高政治站位，牢固树立以人民为中心的发展思想，坚守“发展决不能以牺牲安全为代价”红线，以钉钉子精神抓好重庆通信网络运行安全暨通信安全生产工作。</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市通信管理局(信息通信发展处、通信工程质量监督中心)</w:t>
            </w:r>
          </w:p>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1199"/>
          <w:jc w:val="center"/>
        </w:trPr>
        <w:tc>
          <w:tcPr>
            <w:tcW w:w="1798" w:type="dxa"/>
            <w:vMerge/>
            <w:vAlign w:val="center"/>
          </w:tcPr>
          <w:p w:rsidR="00CB5A0E" w:rsidRDefault="00CB5A0E" w:rsidP="006F5AD0">
            <w:pPr>
              <w:pStyle w:val="a3"/>
              <w:spacing w:line="480" w:lineRule="exact"/>
              <w:jc w:val="both"/>
              <w:rPr>
                <w:rFonts w:hAnsi="方正仿宋_GBK" w:cs="方正仿宋_GBK" w:hint="eastAsia"/>
                <w:b/>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2</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严格按照“党政同责、一岗双责、齐抓共管、失职追责”和“三个必须”的要求，坚决克服麻痹思想和侥幸心理，以认真务实的态度，主动担当作为，实实在在解决问题，切实把通信网络运行安全暨安全生产工作推向新水平。</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市通信管理局(信息通信发展处、通信工程质量监督中心)</w:t>
            </w:r>
          </w:p>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1038"/>
          <w:jc w:val="center"/>
        </w:trPr>
        <w:tc>
          <w:tcPr>
            <w:tcW w:w="1798" w:type="dxa"/>
            <w:vMerge w:val="restart"/>
            <w:vAlign w:val="center"/>
          </w:tcPr>
          <w:p w:rsidR="00CB5A0E" w:rsidRDefault="00CB5A0E" w:rsidP="006F5AD0">
            <w:pPr>
              <w:pStyle w:val="a3"/>
              <w:spacing w:line="480" w:lineRule="exact"/>
              <w:jc w:val="center"/>
              <w:rPr>
                <w:rFonts w:hint="eastAsia"/>
                <w:b/>
                <w:w w:val="110"/>
                <w:szCs w:val="32"/>
              </w:rPr>
            </w:pPr>
            <w:r>
              <w:rPr>
                <w:rFonts w:hint="eastAsia"/>
                <w:b/>
                <w:w w:val="110"/>
                <w:szCs w:val="32"/>
              </w:rPr>
              <w:t>二、防范化解重大安全风险</w:t>
            </w: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3</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通信网络运行安全管理关口前移。各企业要认真排查通信网络、平台和重点业务存在的安全风险，特别是核心机房、互联网数据中心、传输干线等电信设施在运行中的各类安全隐患，研究提出防控风险的具体措施方案，解决基础性、根源性问题。</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841"/>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4</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防范化解电信设施遭破坏等风险。针对近期国内发生的海缆中断、机房硅板／光模块被监守自盗等事件，各企业要按照《公用电信设施安全等级保护要求》(YD/T 2664 -- 2013)要求，采取技防、物防、人防等相结合的手段，加强电信设</w:t>
            </w:r>
            <w:r>
              <w:rPr>
                <w:rFonts w:hint="eastAsia"/>
                <w:w w:val="110"/>
                <w:sz w:val="28"/>
                <w:szCs w:val="28"/>
              </w:rPr>
              <w:lastRenderedPageBreak/>
              <w:t>施安全保护和企业内部管理，着力防范化解外力破坏、盗窃破坏电信设施等风险。</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lastRenderedPageBreak/>
              <w:t>各企业及其区县分公司</w:t>
            </w:r>
          </w:p>
        </w:tc>
      </w:tr>
      <w:tr w:rsidR="00CB5A0E" w:rsidTr="006F5AD0">
        <w:trPr>
          <w:trHeight w:val="1493"/>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5</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主动开展自查自纠。各企业要把自查自</w:t>
            </w:r>
            <w:proofErr w:type="gramStart"/>
            <w:r>
              <w:rPr>
                <w:rFonts w:hint="eastAsia"/>
                <w:w w:val="110"/>
                <w:sz w:val="28"/>
                <w:szCs w:val="28"/>
              </w:rPr>
              <w:t>纠作为</w:t>
            </w:r>
            <w:proofErr w:type="gramEnd"/>
            <w:r>
              <w:rPr>
                <w:rFonts w:hint="eastAsia"/>
                <w:w w:val="110"/>
                <w:sz w:val="28"/>
                <w:szCs w:val="28"/>
              </w:rPr>
              <w:t>消除安全生产隐患的重要抓手，制定年度网络运行安全暨安全生产自查计划，切实组织落实。及时整改自查发现的问题隐患，深挖根源，举一反三，实行闭环管理，杜绝“检查--整改--反复”的非良性循环。</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1459"/>
          <w:jc w:val="center"/>
        </w:trPr>
        <w:tc>
          <w:tcPr>
            <w:tcW w:w="1798" w:type="dxa"/>
            <w:vMerge w:val="restart"/>
            <w:vAlign w:val="center"/>
          </w:tcPr>
          <w:p w:rsidR="00CB5A0E" w:rsidRDefault="00CB5A0E" w:rsidP="006F5AD0">
            <w:pPr>
              <w:pStyle w:val="a3"/>
              <w:spacing w:line="480" w:lineRule="exact"/>
              <w:jc w:val="center"/>
              <w:rPr>
                <w:rFonts w:hint="eastAsia"/>
                <w:b/>
                <w:w w:val="110"/>
                <w:szCs w:val="32"/>
              </w:rPr>
            </w:pPr>
            <w:r>
              <w:rPr>
                <w:rFonts w:hint="eastAsia"/>
                <w:b/>
                <w:w w:val="110"/>
                <w:szCs w:val="32"/>
              </w:rPr>
              <w:t>三、落实安全生产主体责任</w:t>
            </w: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6</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实行全员安全生产责任制度。各企业主要负责人是第一责任人，负责建立并落实安全生产责任制。充分发挥企业安全生产委员会等机构作用，研究解决安全生产中的重大问题。层层压紧压实安全生产责任。明确本企业安全生产管理机构、人员，组织落实本企业安全生产各项工作。</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1429"/>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7</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着力夯实安全生产工作基础。各企业要保证安全生产专项经费投入，健全规范各部门各环节安全生产工作台账，编制梳理生产安全事故应急处置预案并组织演练。面向安全生产重点部位（岗位）维护人员开展专业培训，提高一线维护人员的安全意识，增强现场应急处置能力。</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1548"/>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8</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雷雨季前对通信局（站）在用防雷系统进行全面自查。各企业对雷电灾害多发地区及各地的重要通信局（站）、有雷击</w:t>
            </w:r>
            <w:proofErr w:type="gramStart"/>
            <w:r>
              <w:rPr>
                <w:rFonts w:hint="eastAsia"/>
                <w:w w:val="110"/>
                <w:sz w:val="28"/>
                <w:szCs w:val="28"/>
              </w:rPr>
              <w:t>吏</w:t>
            </w:r>
            <w:proofErr w:type="gramEnd"/>
            <w:r>
              <w:rPr>
                <w:rFonts w:hint="eastAsia"/>
                <w:w w:val="110"/>
                <w:sz w:val="28"/>
                <w:szCs w:val="28"/>
              </w:rPr>
              <w:t>通信局（站）等，应当委托有资质的机构抽查检测。对自查、抽查发现的问题，应立即进行整改。</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各企业及其区县分公司</w:t>
            </w:r>
          </w:p>
        </w:tc>
      </w:tr>
      <w:tr w:rsidR="00CB5A0E" w:rsidTr="006F5AD0">
        <w:trPr>
          <w:trHeight w:val="346"/>
          <w:jc w:val="center"/>
        </w:trPr>
        <w:tc>
          <w:tcPr>
            <w:tcW w:w="1798" w:type="dxa"/>
            <w:vMerge w:val="restart"/>
            <w:vAlign w:val="center"/>
          </w:tcPr>
          <w:p w:rsidR="00CB5A0E" w:rsidRDefault="00CB5A0E" w:rsidP="006F5AD0">
            <w:pPr>
              <w:pStyle w:val="a3"/>
              <w:spacing w:line="480" w:lineRule="exact"/>
              <w:jc w:val="center"/>
              <w:rPr>
                <w:rFonts w:hint="eastAsia"/>
                <w:b/>
                <w:w w:val="110"/>
                <w:szCs w:val="32"/>
              </w:rPr>
            </w:pPr>
          </w:p>
          <w:p w:rsidR="00CB5A0E" w:rsidRDefault="00CB5A0E" w:rsidP="006F5AD0">
            <w:pPr>
              <w:pStyle w:val="a3"/>
              <w:spacing w:line="480" w:lineRule="exact"/>
              <w:jc w:val="center"/>
              <w:rPr>
                <w:rFonts w:hint="eastAsia"/>
                <w:b/>
                <w:w w:val="110"/>
                <w:szCs w:val="32"/>
              </w:rPr>
            </w:pPr>
            <w:r>
              <w:rPr>
                <w:rFonts w:hint="eastAsia"/>
                <w:b/>
                <w:w w:val="110"/>
                <w:szCs w:val="32"/>
              </w:rPr>
              <w:t>四、加强</w:t>
            </w:r>
            <w:r>
              <w:rPr>
                <w:rFonts w:hint="eastAsia"/>
                <w:b/>
                <w:w w:val="110"/>
                <w:szCs w:val="32"/>
              </w:rPr>
              <w:lastRenderedPageBreak/>
              <w:t>网络运行安全管理</w:t>
            </w: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lastRenderedPageBreak/>
              <w:t>9</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通信局（站）雷电灾害事故实行年度零报告制度。各企业应及时填写《通信在用防雷系统自查、抽检情况汇总表》和《通信</w:t>
            </w:r>
            <w:r>
              <w:rPr>
                <w:rFonts w:hint="eastAsia"/>
                <w:w w:val="110"/>
                <w:sz w:val="28"/>
                <w:szCs w:val="28"/>
              </w:rPr>
              <w:lastRenderedPageBreak/>
              <w:t>局（站）雷电灾害事故表》，报通信防雷安全检测管理办公室。</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lastRenderedPageBreak/>
              <w:t>各企业及其区县分公司</w:t>
            </w:r>
          </w:p>
        </w:tc>
      </w:tr>
      <w:tr w:rsidR="00CB5A0E" w:rsidTr="006F5AD0">
        <w:trPr>
          <w:trHeight w:val="1391"/>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10</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按照“管行业必须管安全”的要求，加强对市内信息通信企业网络运行安全暨安全生产工作指导，每季度开展检查，对发现的问题隐患要督促整改，对管理缺位问题严重的企业，要专案督办并进行通报。</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市通信管理局(信息通信发展处、通信工程质量监督中心)</w:t>
            </w:r>
          </w:p>
          <w:p w:rsidR="00CB5A0E" w:rsidRDefault="00CB5A0E" w:rsidP="006F5AD0">
            <w:pPr>
              <w:pStyle w:val="a3"/>
              <w:spacing w:line="360" w:lineRule="exact"/>
              <w:ind w:firstLineChars="100" w:firstLine="320"/>
              <w:rPr>
                <w:rFonts w:hAnsi="方正仿宋_GBK" w:cs="方正仿宋_GBK" w:hint="eastAsia"/>
                <w:szCs w:val="32"/>
              </w:rPr>
            </w:pPr>
          </w:p>
        </w:tc>
      </w:tr>
      <w:tr w:rsidR="00CB5A0E" w:rsidTr="006F5AD0">
        <w:trPr>
          <w:trHeight w:val="794"/>
          <w:jc w:val="center"/>
        </w:trPr>
        <w:tc>
          <w:tcPr>
            <w:tcW w:w="1798" w:type="dxa"/>
            <w:vMerge/>
            <w:vAlign w:val="center"/>
          </w:tcPr>
          <w:p w:rsidR="00CB5A0E" w:rsidRDefault="00CB5A0E" w:rsidP="006F5AD0">
            <w:pPr>
              <w:pStyle w:val="a3"/>
              <w:spacing w:line="480" w:lineRule="exact"/>
              <w:jc w:val="center"/>
              <w:rPr>
                <w:rFonts w:hint="eastAsia"/>
                <w:b/>
                <w:w w:val="110"/>
                <w:szCs w:val="32"/>
              </w:rPr>
            </w:pP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11</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充分发挥通信网络运行安全管理专家的作用。鼓励引导专业机构和专业人士，积极参与通信网络运行安全暨安全生产工作谋划、检查抽查、事故调查处理等，努力提高通信网络运行安全暨通信安全生产工作专业化水平。</w:t>
            </w:r>
          </w:p>
        </w:tc>
        <w:tc>
          <w:tcPr>
            <w:tcW w:w="2405" w:type="dxa"/>
            <w:vAlign w:val="center"/>
          </w:tcPr>
          <w:p w:rsidR="00CB5A0E" w:rsidRDefault="00CB5A0E" w:rsidP="006F5AD0">
            <w:pPr>
              <w:pStyle w:val="a3"/>
              <w:spacing w:line="360" w:lineRule="exact"/>
              <w:jc w:val="center"/>
              <w:rPr>
                <w:rFonts w:hAnsi="方正仿宋_GBK" w:cs="方正仿宋_GBK" w:hint="eastAsia"/>
                <w:sz w:val="28"/>
                <w:szCs w:val="28"/>
              </w:rPr>
            </w:pPr>
            <w:r>
              <w:rPr>
                <w:rFonts w:hAnsi="方正仿宋_GBK" w:cs="方正仿宋_GBK" w:hint="eastAsia"/>
                <w:sz w:val="28"/>
                <w:szCs w:val="28"/>
              </w:rPr>
              <w:t>市通信管理局(信息通信发展处、通信工程质量监督中心)</w:t>
            </w:r>
          </w:p>
          <w:p w:rsidR="00CB5A0E" w:rsidRDefault="00CB5A0E" w:rsidP="006F5AD0">
            <w:pPr>
              <w:pStyle w:val="a3"/>
              <w:spacing w:line="360" w:lineRule="exact"/>
              <w:jc w:val="center"/>
              <w:rPr>
                <w:rFonts w:hAnsi="方正仿宋_GBK" w:cs="方正仿宋_GBK" w:hint="eastAsia"/>
                <w:szCs w:val="32"/>
              </w:rPr>
            </w:pPr>
            <w:r>
              <w:rPr>
                <w:rFonts w:hAnsi="方正仿宋_GBK" w:cs="方正仿宋_GBK" w:hint="eastAsia"/>
                <w:sz w:val="28"/>
                <w:szCs w:val="28"/>
              </w:rPr>
              <w:t>各企业及其区县分公司</w:t>
            </w:r>
          </w:p>
        </w:tc>
      </w:tr>
      <w:tr w:rsidR="00CB5A0E" w:rsidTr="006F5AD0">
        <w:trPr>
          <w:trHeight w:val="1342"/>
          <w:jc w:val="center"/>
        </w:trPr>
        <w:tc>
          <w:tcPr>
            <w:tcW w:w="1798" w:type="dxa"/>
            <w:vAlign w:val="center"/>
          </w:tcPr>
          <w:p w:rsidR="00CB5A0E" w:rsidRDefault="00CB5A0E" w:rsidP="006F5AD0">
            <w:pPr>
              <w:pStyle w:val="a3"/>
              <w:spacing w:line="480" w:lineRule="exact"/>
              <w:rPr>
                <w:rFonts w:hint="eastAsia"/>
                <w:b/>
                <w:w w:val="110"/>
                <w:szCs w:val="32"/>
              </w:rPr>
            </w:pPr>
            <w:r>
              <w:rPr>
                <w:rFonts w:hint="eastAsia"/>
                <w:b/>
                <w:w w:val="110"/>
                <w:szCs w:val="32"/>
              </w:rPr>
              <w:t>五、开展安全生产宣传</w:t>
            </w:r>
          </w:p>
        </w:tc>
        <w:tc>
          <w:tcPr>
            <w:tcW w:w="850" w:type="dxa"/>
            <w:vAlign w:val="center"/>
          </w:tcPr>
          <w:p w:rsidR="00CB5A0E" w:rsidRDefault="00CB5A0E" w:rsidP="006F5AD0">
            <w:pPr>
              <w:pStyle w:val="a3"/>
              <w:spacing w:beforeLines="50" w:before="156" w:afterLines="40" w:after="124" w:line="360" w:lineRule="exact"/>
              <w:jc w:val="center"/>
              <w:rPr>
                <w:rFonts w:hint="eastAsia"/>
                <w:w w:val="110"/>
                <w:sz w:val="28"/>
                <w:szCs w:val="28"/>
              </w:rPr>
            </w:pPr>
            <w:r>
              <w:rPr>
                <w:rFonts w:hint="eastAsia"/>
                <w:w w:val="110"/>
                <w:sz w:val="28"/>
                <w:szCs w:val="28"/>
              </w:rPr>
              <w:t>12</w:t>
            </w:r>
          </w:p>
        </w:tc>
        <w:tc>
          <w:tcPr>
            <w:tcW w:w="5528" w:type="dxa"/>
            <w:vAlign w:val="center"/>
          </w:tcPr>
          <w:p w:rsidR="00CB5A0E" w:rsidRDefault="00CB5A0E" w:rsidP="006F5AD0">
            <w:pPr>
              <w:pStyle w:val="a3"/>
              <w:spacing w:beforeLines="50" w:before="156" w:afterLines="40" w:after="124" w:line="360" w:lineRule="exact"/>
              <w:jc w:val="both"/>
              <w:rPr>
                <w:rFonts w:hint="eastAsia"/>
                <w:w w:val="110"/>
                <w:sz w:val="28"/>
                <w:szCs w:val="28"/>
              </w:rPr>
            </w:pPr>
            <w:r>
              <w:rPr>
                <w:rFonts w:hint="eastAsia"/>
                <w:w w:val="110"/>
                <w:sz w:val="28"/>
                <w:szCs w:val="28"/>
              </w:rPr>
              <w:t>积极开展通信网络运行安全暨通信安全生产宣传活动。各企业要在每年全国电信设施安全保护宣传月、全国安全生产月、11月9日全国消防日等时点，面向社会公众开展通信安全生产宣传，争取社会各界对通信网络运行安全暨通信安全生产工作的理解支持，大力营造信息通信业安全生产良好环境。</w:t>
            </w:r>
          </w:p>
        </w:tc>
        <w:tc>
          <w:tcPr>
            <w:tcW w:w="2405" w:type="dxa"/>
            <w:vAlign w:val="center"/>
          </w:tcPr>
          <w:p w:rsidR="00CB5A0E" w:rsidRDefault="00CB5A0E" w:rsidP="006F5AD0">
            <w:pPr>
              <w:pStyle w:val="a3"/>
              <w:spacing w:line="360" w:lineRule="exact"/>
              <w:jc w:val="center"/>
              <w:rPr>
                <w:rFonts w:hAnsi="方正仿宋_GBK" w:cs="方正仿宋_GBK" w:hint="eastAsia"/>
                <w:szCs w:val="32"/>
              </w:rPr>
            </w:pPr>
            <w:r>
              <w:rPr>
                <w:rFonts w:hAnsi="方正仿宋_GBK" w:cs="方正仿宋_GBK" w:hint="eastAsia"/>
                <w:sz w:val="28"/>
                <w:szCs w:val="28"/>
              </w:rPr>
              <w:t>各企业及其区县分公司</w:t>
            </w:r>
          </w:p>
        </w:tc>
      </w:tr>
    </w:tbl>
    <w:p w:rsidR="00285CC2" w:rsidRPr="00CB5A0E" w:rsidRDefault="00285CC2"/>
    <w:sectPr w:rsidR="00285CC2" w:rsidRPr="00CB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E"/>
    <w:rsid w:val="00285CC2"/>
    <w:rsid w:val="00CB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14B2-5CFC-4CD0-A0B5-9EADFB7B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A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提案题头"/>
    <w:basedOn w:val="a"/>
    <w:rsid w:val="00CB5A0E"/>
    <w:pPr>
      <w:spacing w:line="580" w:lineRule="exact"/>
      <w:jc w:val="left"/>
    </w:pPr>
    <w:rPr>
      <w:rFonts w:ascii="仿宋_GB2312" w:eastAsia="仿宋_GB2312" w:hAnsi="仿宋_GB2312" w:cs="宋体"/>
      <w:sz w:val="32"/>
      <w:szCs w:val="20"/>
    </w:rPr>
  </w:style>
  <w:style w:type="paragraph" w:customStyle="1" w:styleId="a4">
    <w:name w:val="提案正文"/>
    <w:basedOn w:val="a"/>
    <w:rsid w:val="00CB5A0E"/>
    <w:pPr>
      <w:spacing w:line="560" w:lineRule="exact"/>
      <w:ind w:firstLineChars="200" w:firstLine="640"/>
      <w:jc w:val="left"/>
    </w:pPr>
    <w:rPr>
      <w:rFonts w:ascii="方正仿宋_GBK" w:eastAsia="方正仿宋_GBK" w:hAnsi="方正仿宋_GBK" w:cs="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2019-05-27T06:06:00Z</dcterms:created>
  <dcterms:modified xsi:type="dcterms:W3CDTF">2019-05-27T06:07:00Z</dcterms:modified>
</cp:coreProperties>
</file>