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6AE3" w:rsidRDefault="00B56AE3" w:rsidP="00B56AE3">
      <w:pPr>
        <w:pStyle w:val="af5"/>
        <w:jc w:val="center"/>
      </w:pPr>
      <w:r>
        <w:rPr>
          <w:rStyle w:val="af6"/>
        </w:rPr>
        <w:t xml:space="preserve">工业和信息化部关于印发《互联网接入服务规范》的通知 </w:t>
      </w:r>
      <w:r>
        <w:rPr>
          <w:b/>
          <w:bCs/>
        </w:rPr>
        <w:br/>
      </w:r>
      <w:r>
        <w:rPr>
          <w:b/>
          <w:bCs/>
        </w:rPr>
        <w:br/>
      </w:r>
      <w:r>
        <w:t xml:space="preserve">（工信部电管[2013]261号） </w:t>
      </w:r>
    </w:p>
    <w:p w:rsidR="00B56AE3" w:rsidRDefault="00B56AE3" w:rsidP="00B56AE3">
      <w:pPr>
        <w:pStyle w:val="af5"/>
        <w:spacing w:after="240" w:afterAutospacing="0"/>
      </w:pPr>
      <w:r>
        <w:t xml:space="preserve">各省、自治区、直辖市通信管理局，中国电信集团公司、中国移动通信集团公司、中国联通网络通信集团有限公司，相关单位： </w:t>
      </w:r>
      <w:r>
        <w:br/>
      </w:r>
      <w:r>
        <w:br/>
        <w:t xml:space="preserve">　　为进一步规范互联网接入服务规范，工业和信息化部制定了《互联网接入服务规范》。现给予印发，自2013年9月1日起实施。 </w:t>
      </w:r>
      <w:r>
        <w:br/>
      </w:r>
      <w:bookmarkStart w:id="0" w:name="_GoBack"/>
      <w:bookmarkEnd w:id="0"/>
      <w:r>
        <w:br/>
        <w:t xml:space="preserve">　　　　　　　　　　　　　　　　　　　　　　　　　　　　　　工业和信息化部   </w:t>
      </w:r>
      <w:r>
        <w:br/>
      </w:r>
      <w:proofErr w:type="gramStart"/>
      <w:r>
        <w:t xml:space="preserve">　　　　　　　　　　　　　　　　　　　　　　　　　　　　　　</w:t>
      </w:r>
      <w:proofErr w:type="gramEnd"/>
      <w:r>
        <w:t xml:space="preserve">2013年7月12日 </w:t>
      </w:r>
      <w:r>
        <w:br/>
      </w:r>
      <w:r>
        <w:br/>
      </w:r>
      <w:r>
        <w:br/>
      </w:r>
      <w:r>
        <w:br/>
      </w:r>
      <w:r>
        <w:br/>
      </w:r>
    </w:p>
    <w:p w:rsidR="00B56AE3" w:rsidRDefault="00B56AE3" w:rsidP="00B56AE3">
      <w:pPr>
        <w:pStyle w:val="af5"/>
        <w:jc w:val="center"/>
      </w:pPr>
      <w:r>
        <w:rPr>
          <w:rStyle w:val="af6"/>
        </w:rPr>
        <w:t xml:space="preserve">《互联网接入服务规范》 </w:t>
      </w:r>
    </w:p>
    <w:p w:rsidR="00B56AE3" w:rsidRDefault="00B56AE3" w:rsidP="00B56AE3">
      <w:pPr>
        <w:pStyle w:val="af5"/>
        <w:spacing w:after="240" w:afterAutospacing="0"/>
      </w:pPr>
      <w:r>
        <w:t xml:space="preserve">　　电信业务经营者向公众用户提供互联网接入服务，应符合本规范所规定的服务质量指标和通信质量指标。 </w:t>
      </w:r>
      <w:r>
        <w:br/>
      </w:r>
      <w:r>
        <w:lastRenderedPageBreak/>
        <w:br/>
        <w:t xml:space="preserve">　　本规范适用于电信业务经营者和用户之间签订的服务协议中约定的互联网接入服务。其中因特网拨号接入业务应遵守《电信服务规范》附录3.1“因特网拨号接入业务的服务标准”。 </w:t>
      </w:r>
      <w:r>
        <w:br/>
      </w:r>
      <w:r>
        <w:br/>
        <w:t xml:space="preserve">　　 </w:t>
      </w:r>
      <w:r>
        <w:rPr>
          <w:rStyle w:val="af6"/>
        </w:rPr>
        <w:t xml:space="preserve">一、服务质量指标 </w:t>
      </w:r>
      <w:r>
        <w:rPr>
          <w:b/>
          <w:bCs/>
        </w:rPr>
        <w:br/>
      </w:r>
      <w:r>
        <w:rPr>
          <w:b/>
          <w:bCs/>
        </w:rPr>
        <w:br/>
      </w:r>
      <w:r>
        <w:rPr>
          <w:b/>
          <w:bCs/>
        </w:rPr>
        <w:br/>
      </w:r>
      <w:r>
        <w:rPr>
          <w:b/>
          <w:bCs/>
        </w:rPr>
        <w:br/>
      </w:r>
      <w:r>
        <w:t xml:space="preserve">　　 </w:t>
      </w:r>
      <w:r>
        <w:rPr>
          <w:rStyle w:val="af6"/>
        </w:rPr>
        <w:t xml:space="preserve">第一条 预受理时限 </w:t>
      </w:r>
      <w:r>
        <w:rPr>
          <w:b/>
          <w:bCs/>
        </w:rPr>
        <w:br/>
      </w:r>
      <w:r>
        <w:rPr>
          <w:b/>
          <w:bCs/>
        </w:rPr>
        <w:br/>
      </w:r>
      <w:r>
        <w:rPr>
          <w:b/>
          <w:bCs/>
        </w:rPr>
        <w:br/>
      </w:r>
      <w:r>
        <w:rPr>
          <w:b/>
          <w:bCs/>
        </w:rPr>
        <w:br/>
      </w:r>
      <w:r>
        <w:t xml:space="preserve">　　平均值≤2个工作日，最长为5个工作日。 </w:t>
      </w:r>
      <w:r>
        <w:br/>
      </w:r>
      <w:r>
        <w:br/>
        <w:t xml:space="preserve">　　预受理时限指用户登记后，电信业务经营者进行网络资源确认，答复用户能否开通业务所需要的时间。 </w:t>
      </w:r>
      <w:r>
        <w:br/>
      </w:r>
      <w:r>
        <w:br/>
        <w:t xml:space="preserve">　　 </w:t>
      </w:r>
      <w:r>
        <w:rPr>
          <w:rStyle w:val="af6"/>
        </w:rPr>
        <w:t xml:space="preserve">第二条 业务开通、移机时限 </w:t>
      </w:r>
      <w:r>
        <w:rPr>
          <w:b/>
          <w:bCs/>
        </w:rPr>
        <w:br/>
      </w:r>
      <w:r>
        <w:rPr>
          <w:b/>
          <w:bCs/>
        </w:rPr>
        <w:br/>
      </w:r>
      <w:r>
        <w:rPr>
          <w:b/>
          <w:bCs/>
        </w:rPr>
        <w:br/>
      </w:r>
      <w:r>
        <w:rPr>
          <w:b/>
          <w:bCs/>
        </w:rPr>
        <w:br/>
      </w:r>
      <w:r>
        <w:lastRenderedPageBreak/>
        <w:t xml:space="preserve">　　对于不具备线路条件、但可以进行线路施工的情况： </w:t>
      </w:r>
      <w:r>
        <w:br/>
      </w:r>
      <w:r>
        <w:br/>
        <w:t xml:space="preserve">　　城镇：平均值≤10个工作日，最长为16个工作日； </w:t>
      </w:r>
      <w:r>
        <w:br/>
      </w:r>
      <w:r>
        <w:br/>
        <w:t xml:space="preserve">　　农村：平均值≤15个工作日，最长为20个工作日。 </w:t>
      </w:r>
      <w:r>
        <w:br/>
      </w:r>
      <w:r>
        <w:br/>
        <w:t xml:space="preserve">　　对于已具备线路条件的情况，平均值≤5个工作日，最长为7个工作日（不分城镇和农村）。 </w:t>
      </w:r>
      <w:r>
        <w:br/>
      </w:r>
      <w:r>
        <w:br/>
        <w:t xml:space="preserve">　　业务开通、移机时限指自用户和电信业务经营者签订业务开通或移机协议起，到业务</w:t>
      </w:r>
      <w:proofErr w:type="gramStart"/>
      <w:r>
        <w:t>开通止</w:t>
      </w:r>
      <w:proofErr w:type="gramEnd"/>
      <w:r>
        <w:t xml:space="preserve">所需要的时间。在不具备线路条件，并且也不具备施工条件的情况下，应在第一条规定的预受理时限内向用户说明。 </w:t>
      </w:r>
      <w:r>
        <w:br/>
      </w:r>
      <w:r>
        <w:br/>
        <w:t xml:space="preserve">　　 </w:t>
      </w:r>
      <w:r>
        <w:rPr>
          <w:rStyle w:val="af6"/>
        </w:rPr>
        <w:t xml:space="preserve">第三条 障碍修复时限 </w:t>
      </w:r>
      <w:r>
        <w:rPr>
          <w:b/>
          <w:bCs/>
        </w:rPr>
        <w:br/>
      </w:r>
      <w:r>
        <w:rPr>
          <w:b/>
          <w:bCs/>
        </w:rPr>
        <w:br/>
      </w:r>
      <w:r>
        <w:rPr>
          <w:b/>
          <w:bCs/>
        </w:rPr>
        <w:br/>
      </w:r>
      <w:r>
        <w:rPr>
          <w:b/>
          <w:bCs/>
        </w:rPr>
        <w:br/>
      </w:r>
      <w:r>
        <w:t xml:space="preserve">　　城镇：平均值≤24小时，最长为48小时； </w:t>
      </w:r>
      <w:r>
        <w:br/>
      </w:r>
      <w:r>
        <w:br/>
        <w:t xml:space="preserve">　　农村：平均值≤36小时，最长为72小时。 </w:t>
      </w:r>
      <w:r>
        <w:br/>
      </w:r>
      <w:r>
        <w:br/>
        <w:t xml:space="preserve">　　障碍修复时限指自用户提出障碍申告时起，至障碍排除或采取其他方式恢复用户正</w:t>
      </w:r>
      <w:r>
        <w:lastRenderedPageBreak/>
        <w:t xml:space="preserve">常通信所需要的时间。 </w:t>
      </w:r>
      <w:r>
        <w:br/>
      </w:r>
      <w:r>
        <w:br/>
        <w:t xml:space="preserve">　　本规范所指障碍不包含用户自有或自行维护的接入线路和设备的故障。 </w:t>
      </w:r>
      <w:r>
        <w:br/>
        <w:t xml:space="preserve">  </w:t>
      </w:r>
      <w:r>
        <w:br/>
        <w:t xml:space="preserve">　　 </w:t>
      </w:r>
      <w:r>
        <w:rPr>
          <w:rStyle w:val="af6"/>
        </w:rPr>
        <w:t xml:space="preserve">第四条 服务变更时限 </w:t>
      </w:r>
      <w:r>
        <w:rPr>
          <w:b/>
          <w:bCs/>
        </w:rPr>
        <w:br/>
      </w:r>
      <w:r>
        <w:rPr>
          <w:b/>
          <w:bCs/>
        </w:rPr>
        <w:br/>
      </w:r>
      <w:r>
        <w:rPr>
          <w:b/>
          <w:bCs/>
        </w:rPr>
        <w:br/>
      </w:r>
      <w:r>
        <w:rPr>
          <w:b/>
          <w:bCs/>
        </w:rPr>
        <w:br/>
      </w:r>
      <w:r>
        <w:t xml:space="preserve">　　平均值≤12小时，最长为24小时。 </w:t>
      </w:r>
      <w:r>
        <w:br/>
      </w:r>
      <w:r>
        <w:br/>
        <w:t xml:space="preserve">　　服务变更时限指用户办理更名、过户、暂停、恢复、停机等服务变更项目，自柜台或网络办理完毕登记手续</w:t>
      </w:r>
      <w:proofErr w:type="gramStart"/>
      <w:r>
        <w:t>且结清账务</w:t>
      </w:r>
      <w:proofErr w:type="gramEnd"/>
      <w:r>
        <w:t xml:space="preserve">时起，至实际变更完成所需要的时间。对于需要进行资源确认的服务变更，其时限比照本规范第二条“业务开通时限”。 </w:t>
      </w:r>
      <w:r>
        <w:br/>
      </w:r>
      <w:r>
        <w:br/>
        <w:t xml:space="preserve">　　 </w:t>
      </w:r>
      <w:r>
        <w:rPr>
          <w:rStyle w:val="af6"/>
        </w:rPr>
        <w:t xml:space="preserve">第五条 客户服务应答时限 </w:t>
      </w:r>
      <w:r>
        <w:rPr>
          <w:b/>
          <w:bCs/>
        </w:rPr>
        <w:br/>
      </w:r>
      <w:r>
        <w:rPr>
          <w:b/>
          <w:bCs/>
        </w:rPr>
        <w:br/>
      </w:r>
      <w:r>
        <w:rPr>
          <w:b/>
          <w:bCs/>
        </w:rPr>
        <w:br/>
      </w:r>
      <w:r>
        <w:rPr>
          <w:b/>
          <w:bCs/>
        </w:rPr>
        <w:br/>
      </w:r>
      <w:r>
        <w:t xml:space="preserve">　　客户服务中心的应答时限最长为15秒。人工服务的应答时限最长为15秒。人工服务的应答率≥85％。 </w:t>
      </w:r>
      <w:r>
        <w:br/>
      </w:r>
      <w:r>
        <w:br/>
        <w:t xml:space="preserve">　　客户服务中心的应答时限指用户拨号完毕后，自听到回铃音起，至话务员（包括电</w:t>
      </w:r>
      <w:r>
        <w:lastRenderedPageBreak/>
        <w:t xml:space="preserve">脑话务员）应答所需要的时间。人工服务的应答时限指自用户选择人工服务后，至人工话务员应答所需要的时间。人工服务的应答率指用户在接入客户服务中心后，实际得到人工话务员应答服务次数和用户选择人工服务总次数之比。 </w:t>
      </w:r>
      <w:r>
        <w:br/>
      </w:r>
      <w:r>
        <w:br/>
        <w:t xml:space="preserve">　　 </w:t>
      </w:r>
      <w:r>
        <w:rPr>
          <w:rStyle w:val="af6"/>
        </w:rPr>
        <w:t xml:space="preserve">第六条 用户信息保护义务 </w:t>
      </w:r>
      <w:r>
        <w:rPr>
          <w:b/>
          <w:bCs/>
        </w:rPr>
        <w:br/>
      </w:r>
      <w:r>
        <w:rPr>
          <w:b/>
          <w:bCs/>
        </w:rPr>
        <w:br/>
      </w:r>
      <w:r>
        <w:rPr>
          <w:b/>
          <w:bCs/>
        </w:rPr>
        <w:br/>
      </w:r>
      <w:r>
        <w:rPr>
          <w:b/>
          <w:bCs/>
        </w:rPr>
        <w:br/>
      </w:r>
      <w:r>
        <w:t xml:space="preserve">　　电信业务经营者应依照法律和有关规定对提供服务过程中收集、使用的用户个人信息严格保密，不得泄露、篡改或者毁损，不得出售或者非法向他人提供。 </w:t>
      </w:r>
      <w:r>
        <w:br/>
      </w:r>
      <w:r>
        <w:br/>
        <w:t xml:space="preserve">　　 </w:t>
      </w:r>
      <w:r>
        <w:rPr>
          <w:rStyle w:val="af6"/>
        </w:rPr>
        <w:t xml:space="preserve">第七条 互联网接入服务协议续存时限 </w:t>
      </w:r>
      <w:r>
        <w:rPr>
          <w:b/>
          <w:bCs/>
        </w:rPr>
        <w:br/>
      </w:r>
      <w:r>
        <w:rPr>
          <w:b/>
          <w:bCs/>
        </w:rPr>
        <w:br/>
      </w:r>
      <w:r>
        <w:rPr>
          <w:b/>
          <w:bCs/>
        </w:rPr>
        <w:br/>
      </w:r>
      <w:r>
        <w:rPr>
          <w:b/>
          <w:bCs/>
        </w:rPr>
        <w:br/>
      </w:r>
      <w:r>
        <w:t xml:space="preserve">　　互联网接入服务协议（包括纸质的和电子的）续存时限为至少5个月。 </w:t>
      </w:r>
      <w:r>
        <w:br/>
      </w:r>
      <w:r>
        <w:br/>
        <w:t xml:space="preserve">　　互联网接入服务协议续存时限指从服务协议终止（服务协议有效期届满或用户与电信业务经营者共同协商解除合同）之时起，电信业务经营者需要继续保存协议的时间。 </w:t>
      </w:r>
      <w:r>
        <w:br/>
      </w:r>
      <w:r>
        <w:br/>
        <w:t xml:space="preserve">　　互联网接入服务电子协议指电信业务经营者与用户通过短信、客服电话、互联网等形式约定的业务订制或变更关系。 </w:t>
      </w:r>
      <w:r>
        <w:br/>
      </w:r>
      <w:r>
        <w:lastRenderedPageBreak/>
        <w:br/>
        <w:t xml:space="preserve">　　 </w:t>
      </w:r>
      <w:r>
        <w:rPr>
          <w:rStyle w:val="af6"/>
        </w:rPr>
        <w:t xml:space="preserve">第八条 计费原始数据保存时限 </w:t>
      </w:r>
      <w:r>
        <w:rPr>
          <w:b/>
          <w:bCs/>
        </w:rPr>
        <w:br/>
      </w:r>
      <w:r>
        <w:rPr>
          <w:b/>
          <w:bCs/>
        </w:rPr>
        <w:br/>
      </w:r>
      <w:r>
        <w:br/>
        <w:t xml:space="preserve">　　电信业务经营者应根据用户的需要，免费向用户提供收费详细清单（含预付费业务）查询。计费原始数据保存时限至少为5个月。 </w:t>
      </w:r>
      <w:r>
        <w:br/>
      </w:r>
      <w:r>
        <w:br/>
        <w:t xml:space="preserve">　　 </w:t>
      </w:r>
      <w:r>
        <w:rPr>
          <w:rStyle w:val="af6"/>
        </w:rPr>
        <w:t xml:space="preserve">第九条 互联网接入终端用户手册/使用说明 </w:t>
      </w:r>
      <w:r>
        <w:rPr>
          <w:b/>
          <w:bCs/>
        </w:rPr>
        <w:br/>
      </w:r>
      <w:r>
        <w:rPr>
          <w:b/>
          <w:bCs/>
        </w:rPr>
        <w:br/>
      </w:r>
      <w:r>
        <w:br/>
        <w:t xml:space="preserve">　　电信业务经营者提供互联网接入终端的，应同时提供纸质或电子类介质的用户手册或使用说明，至少包括配置方法、使用方法、日常故障的自我诊断方法等。 </w:t>
      </w:r>
      <w:r>
        <w:br/>
      </w:r>
      <w:r>
        <w:br/>
        <w:t xml:space="preserve">　　 </w:t>
      </w:r>
      <w:r>
        <w:rPr>
          <w:rStyle w:val="af6"/>
        </w:rPr>
        <w:t xml:space="preserve">第十条 无线接入网络覆盖范围及漫游范围 </w:t>
      </w:r>
      <w:r>
        <w:rPr>
          <w:b/>
          <w:bCs/>
        </w:rPr>
        <w:br/>
      </w:r>
      <w:r>
        <w:rPr>
          <w:b/>
          <w:bCs/>
        </w:rPr>
        <w:br/>
      </w:r>
      <w:r>
        <w:rPr>
          <w:b/>
          <w:bCs/>
        </w:rPr>
        <w:br/>
      </w:r>
      <w:r>
        <w:rPr>
          <w:b/>
          <w:bCs/>
        </w:rPr>
        <w:br/>
      </w:r>
      <w:r>
        <w:t xml:space="preserve">　　采用无线接入方式提供互联网接入服务的电信业务经营者，应向社会公布其无线网络覆盖范围及漫游范围，并及时更新。 </w:t>
      </w:r>
      <w:r>
        <w:br/>
      </w:r>
      <w:r>
        <w:br/>
        <w:t xml:space="preserve">　　 </w:t>
      </w:r>
      <w:r>
        <w:rPr>
          <w:rStyle w:val="af6"/>
        </w:rPr>
        <w:t xml:space="preserve">第十一条 提醒服务 </w:t>
      </w:r>
      <w:r>
        <w:rPr>
          <w:b/>
          <w:bCs/>
        </w:rPr>
        <w:br/>
      </w:r>
      <w:r>
        <w:rPr>
          <w:b/>
          <w:bCs/>
        </w:rPr>
        <w:br/>
      </w:r>
      <w:r>
        <w:rPr>
          <w:b/>
          <w:bCs/>
        </w:rPr>
        <w:lastRenderedPageBreak/>
        <w:br/>
      </w:r>
      <w:r>
        <w:rPr>
          <w:b/>
          <w:bCs/>
        </w:rPr>
        <w:br/>
      </w:r>
      <w:r>
        <w:t xml:space="preserve">　　电信业务经营者应向用户提供套餐的到量预警、超量提醒、到期提醒等提醒服务。 </w:t>
      </w:r>
      <w:r>
        <w:br/>
      </w:r>
      <w:r>
        <w:br/>
        <w:t xml:space="preserve">　　到量预警指用户套餐内互联网接入服务实际使用量接近套餐限量前，通过短信、语音、互联网等方式，提醒用户本计费周期内业务已使用量、套餐限量等信息。 </w:t>
      </w:r>
      <w:r>
        <w:br/>
      </w:r>
      <w:r>
        <w:br/>
        <w:t xml:space="preserve">　　套餐超量提醒指实际使用量达到套餐限量时，及时通知用户，并告知超出套餐外继续使用该业务的收费标准和收费查询方式。 </w:t>
      </w:r>
      <w:r>
        <w:br/>
      </w:r>
      <w:r>
        <w:br/>
        <w:t xml:space="preserve">　　套餐到期提醒指在套餐有效期届满前的一个合理的提前时段内，提醒用户现行套餐到期日，并告知用户套餐到期后终止或延续服务的方式，以及相应的收费标准。 </w:t>
      </w:r>
      <w:r>
        <w:br/>
      </w:r>
      <w:r>
        <w:br/>
        <w:t xml:space="preserve">　 </w:t>
      </w:r>
      <w:r>
        <w:rPr>
          <w:rStyle w:val="af6"/>
        </w:rPr>
        <w:t xml:space="preserve">　二、通信质量指标 </w:t>
      </w:r>
      <w:r>
        <w:rPr>
          <w:b/>
          <w:bCs/>
        </w:rPr>
        <w:br/>
      </w:r>
      <w:r>
        <w:rPr>
          <w:b/>
          <w:bCs/>
        </w:rPr>
        <w:br/>
      </w:r>
      <w:r>
        <w:br/>
        <w:t xml:space="preserve">　　 </w:t>
      </w:r>
      <w:r>
        <w:rPr>
          <w:rStyle w:val="af6"/>
        </w:rPr>
        <w:t xml:space="preserve">第十二条 有线接入连接建立成功率 </w:t>
      </w:r>
      <w:r>
        <w:rPr>
          <w:b/>
          <w:bCs/>
        </w:rPr>
        <w:br/>
      </w:r>
      <w:r>
        <w:rPr>
          <w:b/>
          <w:bCs/>
        </w:rPr>
        <w:br/>
      </w:r>
      <w:r>
        <w:br/>
        <w:t xml:space="preserve">　　有线接入连接建立成功率≥98%。 </w:t>
      </w:r>
      <w:r>
        <w:br/>
      </w:r>
      <w:r>
        <w:br/>
        <w:t xml:space="preserve">　　有线接入连接建立成功率指在用户账号、密码正确的前提下，接入服务器的接通次</w:t>
      </w:r>
      <w:r>
        <w:lastRenderedPageBreak/>
        <w:t xml:space="preserve">数与用户申请建立连接的总次数之比。 </w:t>
      </w:r>
      <w:r>
        <w:br/>
      </w:r>
      <w:r>
        <w:br/>
        <w:t xml:space="preserve">　　 </w:t>
      </w:r>
      <w:r>
        <w:rPr>
          <w:rStyle w:val="af6"/>
        </w:rPr>
        <w:t xml:space="preserve">第十三条 有线接入用户接入认证平均响应时间 </w:t>
      </w:r>
      <w:r>
        <w:rPr>
          <w:b/>
          <w:bCs/>
        </w:rPr>
        <w:br/>
      </w:r>
      <w:r>
        <w:rPr>
          <w:b/>
          <w:bCs/>
        </w:rPr>
        <w:br/>
      </w:r>
      <w:r>
        <w:br/>
        <w:t xml:space="preserve">　　有线接入用户接入认证平均响应时间≤8秒，最大值为11秒。 </w:t>
      </w:r>
      <w:r>
        <w:br/>
      </w:r>
      <w:r>
        <w:br/>
        <w:t xml:space="preserve">　　有线接入用户接入认证平均响应时间指用户申请建立网络连接时，从用户提交完账号和密码起，至接入服务器完成认证并返回响应止的时间平均值。 </w:t>
      </w:r>
      <w:r>
        <w:br/>
      </w:r>
      <w:r>
        <w:br/>
        <w:t xml:space="preserve">　　 </w:t>
      </w:r>
      <w:r>
        <w:rPr>
          <w:rStyle w:val="af6"/>
        </w:rPr>
        <w:t xml:space="preserve">第十四条 有线接入速率 </w:t>
      </w:r>
      <w:r>
        <w:rPr>
          <w:b/>
          <w:bCs/>
        </w:rPr>
        <w:br/>
      </w:r>
      <w:r>
        <w:rPr>
          <w:b/>
          <w:bCs/>
        </w:rPr>
        <w:br/>
      </w:r>
      <w:r>
        <w:rPr>
          <w:b/>
          <w:bCs/>
        </w:rPr>
        <w:br/>
      </w:r>
      <w:r>
        <w:rPr>
          <w:b/>
          <w:bCs/>
        </w:rPr>
        <w:br/>
      </w:r>
      <w:r>
        <w:t xml:space="preserve">　　有线接入速率的平均值应能达到签约速率的90%。 </w:t>
      </w:r>
      <w:r>
        <w:br/>
      </w:r>
      <w:r>
        <w:br/>
        <w:t xml:space="preserve">　　有线接入速率指从用户终端到接入服务器（BRAS）之间的接入速率。 </w:t>
      </w:r>
      <w:r>
        <w:br/>
      </w:r>
      <w:r>
        <w:br/>
        <w:t xml:space="preserve">　　 </w:t>
      </w:r>
      <w:r>
        <w:rPr>
          <w:rStyle w:val="af6"/>
        </w:rPr>
        <w:t>第十五条 无线接入网络可</w:t>
      </w:r>
      <w:proofErr w:type="gramStart"/>
      <w:r>
        <w:rPr>
          <w:rStyle w:val="af6"/>
        </w:rPr>
        <w:t>接入率</w:t>
      </w:r>
      <w:proofErr w:type="gramEnd"/>
      <w:r>
        <w:rPr>
          <w:rStyle w:val="af6"/>
        </w:rPr>
        <w:t xml:space="preserve"> </w:t>
      </w:r>
      <w:r>
        <w:rPr>
          <w:b/>
          <w:bCs/>
        </w:rPr>
        <w:br/>
      </w:r>
      <w:r>
        <w:rPr>
          <w:b/>
          <w:bCs/>
        </w:rPr>
        <w:br/>
      </w:r>
      <w:r>
        <w:br/>
        <w:t xml:space="preserve">　　在无线接入网络覆盖范围内的90％位置，99％的时间、在20秒内无线终端均可接入</w:t>
      </w:r>
      <w:r>
        <w:lastRenderedPageBreak/>
        <w:t xml:space="preserve">网络。 </w:t>
      </w:r>
      <w:r>
        <w:br/>
      </w:r>
      <w:r>
        <w:br/>
        <w:t xml:space="preserve">　　 </w:t>
      </w:r>
      <w:r>
        <w:rPr>
          <w:rStyle w:val="af6"/>
        </w:rPr>
        <w:t xml:space="preserve">第十六条 无线接入连接建立成功率 </w:t>
      </w:r>
      <w:r>
        <w:rPr>
          <w:b/>
          <w:bCs/>
        </w:rPr>
        <w:br/>
      </w:r>
      <w:r>
        <w:rPr>
          <w:b/>
          <w:bCs/>
        </w:rPr>
        <w:br/>
      </w:r>
      <w:r>
        <w:rPr>
          <w:b/>
          <w:bCs/>
        </w:rPr>
        <w:br/>
      </w:r>
      <w:r>
        <w:rPr>
          <w:b/>
          <w:bCs/>
        </w:rPr>
        <w:br/>
      </w:r>
      <w:r>
        <w:t xml:space="preserve">　　无线接入连接建立成功率≥95%。 </w:t>
      </w:r>
      <w:r>
        <w:br/>
      </w:r>
      <w:r>
        <w:br/>
        <w:t xml:space="preserve">　　无线接入连接建立成功率指无线终端发起分组数据连接建立请求并成功建立连接的次数与无线终端发起分组数据连接建立请求总次数之比。 </w:t>
      </w:r>
      <w:r>
        <w:br/>
      </w:r>
      <w:r>
        <w:br/>
        <w:t xml:space="preserve">　　 </w:t>
      </w:r>
      <w:r>
        <w:rPr>
          <w:rStyle w:val="af6"/>
        </w:rPr>
        <w:t xml:space="preserve">第十七条 无线接入用户接入认证平均响应时间 </w:t>
      </w:r>
      <w:r>
        <w:rPr>
          <w:b/>
          <w:bCs/>
        </w:rPr>
        <w:br/>
      </w:r>
      <w:r>
        <w:rPr>
          <w:b/>
          <w:bCs/>
        </w:rPr>
        <w:br/>
      </w:r>
      <w:r>
        <w:rPr>
          <w:b/>
          <w:bCs/>
        </w:rPr>
        <w:br/>
      </w:r>
      <w:r>
        <w:rPr>
          <w:b/>
          <w:bCs/>
        </w:rPr>
        <w:br/>
      </w:r>
      <w:r>
        <w:t xml:space="preserve">　　无线接入用户接入认证平均响应时间≤8秒，最大值为11秒。 </w:t>
      </w:r>
      <w:r>
        <w:br/>
      </w:r>
      <w:r>
        <w:br/>
        <w:t xml:space="preserve">　　无线接入用户接入认证平均响应时间指从用户提交完数据连接建立请求时起，至网络返回连接响应时止的时间平均值。 </w:t>
      </w:r>
      <w:r>
        <w:br/>
      </w:r>
      <w:r>
        <w:br/>
        <w:t xml:space="preserve">　　 </w:t>
      </w:r>
      <w:r>
        <w:rPr>
          <w:rStyle w:val="af6"/>
        </w:rPr>
        <w:t xml:space="preserve">第十八条 无线接入中断率 </w:t>
      </w:r>
      <w:r>
        <w:rPr>
          <w:b/>
          <w:bCs/>
        </w:rPr>
        <w:br/>
      </w:r>
      <w:r>
        <w:rPr>
          <w:b/>
          <w:bCs/>
        </w:rPr>
        <w:br/>
      </w:r>
      <w:r>
        <w:lastRenderedPageBreak/>
        <w:br/>
        <w:t xml:space="preserve">　　无线接入中断率≤5％。 </w:t>
      </w:r>
      <w:r>
        <w:br/>
      </w:r>
      <w:r>
        <w:br/>
        <w:t xml:space="preserve">　　无线接入中断率指互联网业务进行过程中发生业务中断的概率，即互联网接入连接中断的次数与用户使用互联网业务总次数之比。本规范所指中断是在终端正常进行数据传送过程中由于电信业务经营者网络原因造成的接入连接断开。 </w:t>
      </w:r>
      <w:r>
        <w:br/>
      </w:r>
      <w:r>
        <w:br/>
        <w:t xml:space="preserve">　　 </w:t>
      </w:r>
      <w:r>
        <w:rPr>
          <w:rStyle w:val="af6"/>
        </w:rPr>
        <w:t xml:space="preserve">第十九条 互联网接入计费差错率 </w:t>
      </w:r>
      <w:r>
        <w:rPr>
          <w:b/>
          <w:bCs/>
        </w:rPr>
        <w:br/>
      </w:r>
      <w:r>
        <w:rPr>
          <w:b/>
          <w:bCs/>
        </w:rPr>
        <w:br/>
      </w:r>
      <w:r>
        <w:br/>
        <w:t xml:space="preserve">　　互联网接入计费差错率≤10－4。 </w:t>
      </w:r>
      <w:r>
        <w:br/>
      </w:r>
      <w:r>
        <w:br/>
        <w:t xml:space="preserve">　　互联网接入计费差错率指互联网接入计费相关设备出现计费差错的概率，采用如下公式计算： </w:t>
      </w:r>
      <w:r>
        <w:br/>
      </w:r>
      <w:r>
        <w:br/>
        <w:t xml:space="preserve">　　计费差错率=有错误的计费记录条数/总计费记录条数。 </w:t>
      </w:r>
      <w:r>
        <w:br/>
        <w:t xml:space="preserve">　　 </w:t>
      </w:r>
      <w:r>
        <w:br/>
        <w:t xml:space="preserve">　 </w:t>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br/>
      </w:r>
      <w:r>
        <w:lastRenderedPageBreak/>
        <w:br/>
      </w:r>
      <w:r>
        <w:br/>
      </w:r>
      <w:r>
        <w:br/>
      </w:r>
      <w:r>
        <w:br/>
      </w:r>
      <w:r>
        <w:br/>
      </w:r>
      <w:r>
        <w:br/>
      </w:r>
      <w:r>
        <w:br/>
      </w:r>
      <w:r>
        <w:br/>
      </w:r>
      <w:r>
        <w:br/>
      </w:r>
      <w:r>
        <w:br/>
      </w:r>
      <w:r>
        <w:br/>
      </w:r>
      <w:r>
        <w:br/>
      </w:r>
      <w:r>
        <w:br/>
      </w:r>
      <w:r>
        <w:br/>
      </w:r>
      <w:r>
        <w:br/>
      </w:r>
      <w:r>
        <w:br/>
      </w:r>
      <w:r>
        <w:br/>
      </w:r>
      <w:r>
        <w:br/>
      </w:r>
      <w:r>
        <w:br/>
      </w:r>
      <w:r>
        <w:br/>
      </w:r>
      <w:r>
        <w:br/>
      </w:r>
      <w:r>
        <w:lastRenderedPageBreak/>
        <w:br/>
      </w:r>
    </w:p>
    <w:p w:rsidR="005C5BE7" w:rsidRPr="00B56AE3" w:rsidRDefault="005C5BE7" w:rsidP="00A63D1F"/>
    <w:sectPr w:rsidR="005C5BE7" w:rsidRPr="00B56AE3">
      <w:footerReference w:type="even" r:id="rId7"/>
      <w:footerReference w:type="default" r:id="rId8"/>
      <w:footerReference w:type="first" r:id="rId9"/>
      <w:pgSz w:w="11906" w:h="16838"/>
      <w:pgMar w:top="1757" w:right="1587" w:bottom="1757" w:left="1587" w:header="851" w:footer="992" w:gutter="0"/>
      <w:cols w:space="720"/>
      <w:titlePg/>
      <w:docGrid w:type="linesAndChars" w:linePitch="605"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46" w:rsidRDefault="00887D46">
      <w:r>
        <w:separator/>
      </w:r>
    </w:p>
  </w:endnote>
  <w:endnote w:type="continuationSeparator" w:id="0">
    <w:p w:rsidR="00887D46" w:rsidRDefault="0088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nos">
    <w:altName w:val="Traditional Arabic"/>
    <w:charset w:val="00"/>
    <w:family w:val="auto"/>
    <w:pitch w:val="default"/>
    <w:sig w:usb0="E0000AFF" w:usb1="500078FF" w:usb2="00000029" w:usb3="00000000" w:csb0="600001BF" w:csb1="DFF7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pPr>
    <w:r>
      <w:rPr>
        <w:rFonts w:hint="eastAsia"/>
      </w:rPr>
      <w:t xml:space="preserve">— </w:t>
    </w:r>
    <w:r>
      <w:fldChar w:fldCharType="begin"/>
    </w:r>
    <w:r>
      <w:instrText>PAGE   \* MERGEFORMAT</w:instrText>
    </w:r>
    <w:r>
      <w:fldChar w:fldCharType="separate"/>
    </w:r>
    <w:r w:rsidR="00B56AE3" w:rsidRPr="00B56AE3">
      <w:rPr>
        <w:noProof/>
        <w:lang w:val="zh-CN"/>
      </w:rPr>
      <w:t>2</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rPr>
        <w:lang w:val="zh-CN"/>
      </w:rPr>
    </w:pPr>
    <w:r>
      <w:rPr>
        <w:rFonts w:hint="eastAsia"/>
      </w:rPr>
      <w:t xml:space="preserve">— </w:t>
    </w:r>
    <w:r>
      <w:fldChar w:fldCharType="begin"/>
    </w:r>
    <w:r>
      <w:instrText>PAGE   \* MERGEFORMAT</w:instrText>
    </w:r>
    <w:r>
      <w:fldChar w:fldCharType="separate"/>
    </w:r>
    <w:r w:rsidR="00B56AE3" w:rsidRPr="00B56AE3">
      <w:rPr>
        <w:noProof/>
        <w:lang w:val="zh-CN"/>
      </w:rPr>
      <w:t>15</w:t>
    </w:r>
    <w:r>
      <w:fldChar w:fldCharType="end"/>
    </w:r>
    <w: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pPr>
    <w:r>
      <w:rPr>
        <w:rFonts w:hint="eastAsia"/>
      </w:rPr>
      <w:t xml:space="preserve">— </w:t>
    </w:r>
    <w:r>
      <w:fldChar w:fldCharType="begin"/>
    </w:r>
    <w:r>
      <w:instrText>PAGE   \* MERGEFORMAT</w:instrText>
    </w:r>
    <w:r>
      <w:fldChar w:fldCharType="separate"/>
    </w:r>
    <w:r w:rsidR="00B56AE3" w:rsidRPr="00B56AE3">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46" w:rsidRDefault="00887D46">
      <w:r>
        <w:separator/>
      </w:r>
    </w:p>
  </w:footnote>
  <w:footnote w:type="continuationSeparator" w:id="0">
    <w:p w:rsidR="00887D46" w:rsidRDefault="00887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chineseCounting"/>
      <w:pStyle w:val="1"/>
      <w:suff w:val="nothing"/>
      <w:lvlText w:val="%1、"/>
      <w:lvlJc w:val="left"/>
      <w:pPr>
        <w:ind w:left="0" w:firstLine="0"/>
      </w:pPr>
      <w:rPr>
        <w:rFonts w:ascii="黑体" w:eastAsia="黑体" w:hAnsi="黑体" w:cs="宋体" w:hint="eastAsia"/>
        <w:kern w:val="2"/>
        <w:sz w:val="32"/>
        <w:szCs w:val="32"/>
      </w:rPr>
    </w:lvl>
    <w:lvl w:ilvl="1">
      <w:start w:val="1"/>
      <w:numFmt w:val="chineseCounting"/>
      <w:pStyle w:val="2"/>
      <w:suff w:val="nothing"/>
      <w:lvlText w:val="（%2）"/>
      <w:lvlJc w:val="left"/>
      <w:pPr>
        <w:ind w:left="0" w:firstLine="0"/>
      </w:pPr>
      <w:rPr>
        <w:rFonts w:ascii="楷体" w:eastAsia="楷体_GB2312" w:hAnsi="楷体" w:cs="宋体" w:hint="eastAsia"/>
        <w:kern w:val="2"/>
        <w:sz w:val="32"/>
        <w:szCs w:val="32"/>
      </w:rPr>
    </w:lvl>
    <w:lvl w:ilvl="2">
      <w:start w:val="1"/>
      <w:numFmt w:val="decimal"/>
      <w:pStyle w:val="3"/>
      <w:suff w:val="nothing"/>
      <w:lvlText w:val="%3．"/>
      <w:lvlJc w:val="left"/>
      <w:pPr>
        <w:ind w:left="0" w:firstLine="400"/>
      </w:pPr>
      <w:rPr>
        <w:rFonts w:ascii="Tinos" w:eastAsia="方正仿宋_GBK" w:hAnsi="Tinos" w:cs="宋体" w:hint="eastAsia"/>
        <w:kern w:val="2"/>
        <w:sz w:val="32"/>
        <w:szCs w:val="32"/>
      </w:rPr>
    </w:lvl>
    <w:lvl w:ilvl="3">
      <w:start w:val="1"/>
      <w:numFmt w:val="decimal"/>
      <w:pStyle w:val="4"/>
      <w:suff w:val="nothing"/>
      <w:lvlText w:val="（%4）"/>
      <w:lvlJc w:val="left"/>
      <w:pPr>
        <w:ind w:left="0" w:firstLine="402"/>
      </w:pPr>
      <w:rPr>
        <w:rFonts w:ascii="Tinos" w:eastAsia="方正仿宋_GBK" w:hAnsi="Tinos" w:cs="宋体" w:hint="eastAsia"/>
        <w:sz w:val="32"/>
        <w:szCs w:val="32"/>
      </w:rPr>
    </w:lvl>
    <w:lvl w:ilvl="4">
      <w:start w:val="1"/>
      <w:numFmt w:val="decimal"/>
      <w:pStyle w:val="5"/>
      <w:suff w:val="nothing"/>
      <w:lvlText w:val=""/>
      <w:lvlJc w:val="left"/>
      <w:pPr>
        <w:ind w:left="0" w:firstLine="402"/>
      </w:pPr>
      <w:rPr>
        <w:rFonts w:ascii="宋体" w:eastAsia="宋体" w:hAnsi="宋体" w:cs="宋体" w:hint="eastAsia"/>
      </w:rPr>
    </w:lvl>
    <w:lvl w:ilvl="5">
      <w:start w:val="1"/>
      <w:numFmt w:val="decimal"/>
      <w:pStyle w:val="6"/>
      <w:suff w:val="nothing"/>
      <w:lvlText w:val=""/>
      <w:lvlJc w:val="left"/>
      <w:pPr>
        <w:ind w:left="0" w:firstLine="402"/>
      </w:pPr>
      <w:rPr>
        <w:rFonts w:ascii="宋体" w:eastAsia="宋体" w:hAnsi="宋体" w:cs="宋体" w:hint="eastAsia"/>
      </w:rPr>
    </w:lvl>
    <w:lvl w:ilvl="6">
      <w:start w:val="1"/>
      <w:numFmt w:val="decimal"/>
      <w:pStyle w:val="7"/>
      <w:suff w:val="nothing"/>
      <w:lvlText w:val=""/>
      <w:lvlJc w:val="left"/>
      <w:pPr>
        <w:ind w:left="0" w:firstLine="402"/>
      </w:pPr>
      <w:rPr>
        <w:rFonts w:ascii="宋体" w:eastAsia="宋体" w:hAnsi="宋体" w:cs="宋体" w:hint="eastAsia"/>
      </w:rPr>
    </w:lvl>
    <w:lvl w:ilvl="7">
      <w:start w:val="1"/>
      <w:numFmt w:val="decimal"/>
      <w:pStyle w:val="8"/>
      <w:suff w:val="nothing"/>
      <w:lvlText w:val=""/>
      <w:lvlJc w:val="left"/>
      <w:pPr>
        <w:ind w:left="0" w:firstLine="402"/>
      </w:pPr>
      <w:rPr>
        <w:rFonts w:ascii="宋体" w:eastAsia="宋体" w:hAnsi="宋体" w:cs="宋体" w:hint="eastAsia"/>
      </w:rPr>
    </w:lvl>
    <w:lvl w:ilvl="8">
      <w:start w:val="1"/>
      <w:numFmt w:val="decimal"/>
      <w:pStyle w:val="9"/>
      <w:suff w:val="nothing"/>
      <w:lvlText w:val=""/>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97"/>
  <w:drawingGridVerticalSpacing w:val="30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A8"/>
    <w:rsid w:val="002673A8"/>
    <w:rsid w:val="005C5BE7"/>
    <w:rsid w:val="00644534"/>
    <w:rsid w:val="00705454"/>
    <w:rsid w:val="00887D46"/>
    <w:rsid w:val="00A63D1F"/>
    <w:rsid w:val="00B56AE3"/>
    <w:rsid w:val="17433BE1"/>
    <w:rsid w:val="4BFF8ED5"/>
    <w:rsid w:val="52500053"/>
    <w:rsid w:val="7268F875"/>
    <w:rsid w:val="77FF701E"/>
    <w:rsid w:val="7FDFF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127C6A91-5084-4B6F-A0B3-6AABCD8F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宋体" w:hAnsi="Tinos" w:cs="Tino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spacing w:line="560" w:lineRule="exact"/>
      <w:ind w:firstLineChars="200" w:firstLine="200"/>
      <w:jc w:val="left"/>
      <w:outlineLvl w:val="0"/>
    </w:pPr>
    <w:rPr>
      <w:rFonts w:eastAsia="黑体" w:cs="方正仿宋_GBK"/>
      <w:bCs/>
      <w:kern w:val="44"/>
      <w:sz w:val="32"/>
      <w:szCs w:val="32"/>
    </w:rPr>
  </w:style>
  <w:style w:type="paragraph" w:styleId="2">
    <w:name w:val="heading 2"/>
    <w:basedOn w:val="a"/>
    <w:next w:val="a0"/>
    <w:qFormat/>
    <w:pPr>
      <w:numPr>
        <w:ilvl w:val="1"/>
        <w:numId w:val="1"/>
      </w:numPr>
      <w:ind w:firstLineChars="200" w:firstLine="640"/>
      <w:jc w:val="left"/>
      <w:outlineLvl w:val="1"/>
    </w:pPr>
    <w:rPr>
      <w:rFonts w:ascii="方正楷体_GBK" w:eastAsia="方正楷体_GBK" w:cs="方正仿宋_GBK"/>
      <w:bCs/>
      <w:sz w:val="32"/>
      <w:szCs w:val="32"/>
    </w:rPr>
  </w:style>
  <w:style w:type="paragraph" w:styleId="3">
    <w:name w:val="heading 3"/>
    <w:basedOn w:val="a"/>
    <w:next w:val="a0"/>
    <w:qFormat/>
    <w:pPr>
      <w:numPr>
        <w:ilvl w:val="2"/>
        <w:numId w:val="1"/>
      </w:numPr>
      <w:spacing w:line="560" w:lineRule="exact"/>
      <w:ind w:firstLineChars="200" w:firstLine="420"/>
      <w:jc w:val="left"/>
      <w:outlineLvl w:val="2"/>
    </w:pPr>
    <w:rPr>
      <w:rFonts w:eastAsia="方正仿宋_GBK" w:cs="方正仿宋_GBK"/>
      <w:sz w:val="32"/>
      <w:szCs w:val="32"/>
    </w:rPr>
  </w:style>
  <w:style w:type="paragraph" w:styleId="4">
    <w:name w:val="heading 4"/>
    <w:basedOn w:val="a"/>
    <w:next w:val="a0"/>
    <w:qFormat/>
    <w:pPr>
      <w:numPr>
        <w:ilvl w:val="3"/>
        <w:numId w:val="1"/>
      </w:numPr>
      <w:spacing w:line="560" w:lineRule="exact"/>
      <w:ind w:firstLineChars="200" w:firstLine="420"/>
      <w:jc w:val="left"/>
      <w:outlineLvl w:val="3"/>
    </w:pPr>
    <w:rPr>
      <w:rFonts w:eastAsia="方正仿宋_GBK" w:cs="方正仿宋_GBK"/>
      <w:sz w:val="32"/>
      <w:szCs w:val="32"/>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脚注文本 字符"/>
    <w:link w:val="a5"/>
    <w:rPr>
      <w:kern w:val="2"/>
      <w:sz w:val="18"/>
      <w:szCs w:val="18"/>
    </w:rPr>
  </w:style>
  <w:style w:type="character" w:styleId="a6">
    <w:name w:val="footnote reference"/>
    <w:rPr>
      <w:vertAlign w:val="superscript"/>
    </w:rPr>
  </w:style>
  <w:style w:type="character" w:customStyle="1" w:styleId="a7">
    <w:name w:val="正文内容（字符）"/>
    <w:rPr>
      <w:rFonts w:ascii="Tinos" w:eastAsia="方正仿宋_GBK" w:hAnsi="Tinos"/>
      <w:sz w:val="32"/>
    </w:rPr>
  </w:style>
  <w:style w:type="character" w:customStyle="1" w:styleId="a8">
    <w:name w:val="批注框文本 字符"/>
    <w:link w:val="a9"/>
    <w:rPr>
      <w:kern w:val="2"/>
      <w:sz w:val="18"/>
      <w:szCs w:val="18"/>
    </w:rPr>
  </w:style>
  <w:style w:type="character" w:customStyle="1" w:styleId="aa">
    <w:name w:val="页脚 字符"/>
    <w:link w:val="ab"/>
    <w:rPr>
      <w:rFonts w:ascii="宋体" w:eastAsia="宋体" w:hAnsi="宋体" w:cs="宋体"/>
      <w:kern w:val="2"/>
      <w:sz w:val="28"/>
      <w:szCs w:val="18"/>
    </w:rPr>
  </w:style>
  <w:style w:type="character" w:customStyle="1" w:styleId="ac">
    <w:name w:val="正文内容（加重）"/>
    <w:rPr>
      <w:rFonts w:ascii="方正仿宋_GBK" w:eastAsia="方正仿宋_GBK" w:hAnsi="方正仿宋_GBK"/>
      <w:b/>
      <w:sz w:val="32"/>
    </w:rPr>
  </w:style>
  <w:style w:type="paragraph" w:customStyle="1" w:styleId="ad">
    <w:name w:val="附件头"/>
    <w:next w:val="ae"/>
    <w:pPr>
      <w:spacing w:line="580" w:lineRule="exact"/>
    </w:pPr>
    <w:rPr>
      <w:rFonts w:eastAsia="黑体"/>
      <w:sz w:val="32"/>
    </w:rPr>
  </w:style>
  <w:style w:type="paragraph" w:styleId="a5">
    <w:name w:val="footnote text"/>
    <w:basedOn w:val="a"/>
    <w:link w:val="a4"/>
    <w:pPr>
      <w:snapToGrid w:val="0"/>
      <w:jc w:val="left"/>
    </w:pPr>
    <w:rPr>
      <w:sz w:val="18"/>
      <w:szCs w:val="18"/>
    </w:rPr>
  </w:style>
  <w:style w:type="paragraph" w:styleId="a9">
    <w:name w:val="Balloon Text"/>
    <w:basedOn w:val="a"/>
    <w:link w:val="a8"/>
    <w:rPr>
      <w:sz w:val="18"/>
      <w:szCs w:val="18"/>
    </w:rPr>
  </w:style>
  <w:style w:type="paragraph" w:customStyle="1" w:styleId="a0">
    <w:name w:val="正文内容"/>
    <w:basedOn w:val="a"/>
    <w:pPr>
      <w:spacing w:line="580" w:lineRule="exact"/>
      <w:ind w:firstLineChars="200" w:firstLine="880"/>
    </w:pPr>
    <w:rPr>
      <w:rFonts w:ascii="方正仿宋_GBK" w:eastAsia="方正仿宋_GBK" w:hAnsi="方正仿宋_GBK" w:cs="方正仿宋_GBK"/>
      <w:sz w:val="32"/>
      <w:szCs w:val="32"/>
    </w:rPr>
  </w:style>
  <w:style w:type="paragraph" w:customStyle="1" w:styleId="af">
    <w:name w:val="页脚（右）"/>
    <w:basedOn w:val="ab"/>
    <w:pPr>
      <w:jc w:val="right"/>
    </w:pPr>
  </w:style>
  <w:style w:type="paragraph" w:customStyle="1" w:styleId="A38323525">
    <w:name w:val="A3文号+段前83毫米即235.25磅"/>
    <w:basedOn w:val="a"/>
    <w:pPr>
      <w:spacing w:before="4705" w:line="600" w:lineRule="exact"/>
      <w:jc w:val="center"/>
    </w:pPr>
    <w:rPr>
      <w:rFonts w:eastAsia="方正仿宋_GBK"/>
      <w:sz w:val="32"/>
    </w:rPr>
  </w:style>
  <w:style w:type="paragraph" w:customStyle="1" w:styleId="af0">
    <w:name w:val="落款日期"/>
    <w:basedOn w:val="a"/>
    <w:pPr>
      <w:wordWrap w:val="0"/>
      <w:spacing w:line="580" w:lineRule="exact"/>
      <w:ind w:rightChars="400" w:right="840"/>
      <w:jc w:val="right"/>
    </w:pPr>
    <w:rPr>
      <w:rFonts w:ascii="方正仿宋_GBK" w:eastAsia="方正仿宋_GBK" w:hAnsi="方正仿宋_GBK" w:cs="方正仿宋_GBK"/>
      <w:sz w:val="32"/>
      <w:szCs w:val="32"/>
    </w:rPr>
  </w:style>
  <w:style w:type="paragraph" w:customStyle="1" w:styleId="2083">
    <w:name w:val="简函标题+段前20毫米即段前83磅"/>
    <w:basedOn w:val="ae"/>
    <w:next w:val="af1"/>
    <w:pPr>
      <w:spacing w:beforeLines="0" w:before="1660" w:afterLines="0" w:after="100"/>
    </w:pPr>
  </w:style>
  <w:style w:type="paragraph" w:customStyle="1" w:styleId="20">
    <w:name w:val="附件2及其他附件"/>
    <w:basedOn w:val="a"/>
    <w:pPr>
      <w:suppressAutoHyphens/>
      <w:spacing w:line="560" w:lineRule="exact"/>
      <w:ind w:leftChars="750" w:left="2015" w:hangingChars="100" w:hanging="440"/>
    </w:pPr>
    <w:rPr>
      <w:rFonts w:eastAsia="方正仿宋_GBK" w:cs="方正仿宋_GBK"/>
      <w:color w:val="000000"/>
      <w:sz w:val="32"/>
      <w:szCs w:val="32"/>
    </w:rPr>
  </w:style>
  <w:style w:type="paragraph" w:customStyle="1" w:styleId="af2">
    <w:name w:val="附件"/>
    <w:basedOn w:val="a0"/>
    <w:next w:val="af0"/>
    <w:pPr>
      <w:ind w:leftChars="300" w:left="1950" w:hangingChars="300" w:hanging="1320"/>
    </w:pPr>
  </w:style>
  <w:style w:type="paragraph" w:customStyle="1" w:styleId="10">
    <w:name w:val="附件1"/>
    <w:basedOn w:val="a"/>
    <w:next w:val="20"/>
    <w:pPr>
      <w:suppressAutoHyphens/>
      <w:spacing w:line="560" w:lineRule="exact"/>
      <w:ind w:leftChars="300" w:left="2390" w:hangingChars="400" w:hanging="1760"/>
    </w:pPr>
    <w:rPr>
      <w:rFonts w:eastAsia="方正仿宋_GBK" w:cs="方正仿宋_GBK"/>
      <w:color w:val="000000"/>
      <w:sz w:val="32"/>
      <w:szCs w:val="32"/>
    </w:rPr>
  </w:style>
  <w:style w:type="paragraph" w:styleId="af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4">
    <w:name w:val="页脚（左）"/>
    <w:basedOn w:val="ab"/>
  </w:style>
  <w:style w:type="paragraph" w:styleId="ab">
    <w:name w:val="footer"/>
    <w:basedOn w:val="a"/>
    <w:link w:val="aa"/>
    <w:pPr>
      <w:tabs>
        <w:tab w:val="center" w:pos="4153"/>
        <w:tab w:val="right" w:pos="8306"/>
      </w:tabs>
      <w:snapToGrid w:val="0"/>
      <w:jc w:val="left"/>
    </w:pPr>
    <w:rPr>
      <w:rFonts w:ascii="宋体" w:hAnsi="宋体" w:cs="宋体"/>
      <w:sz w:val="28"/>
      <w:szCs w:val="18"/>
    </w:rPr>
  </w:style>
  <w:style w:type="paragraph" w:customStyle="1" w:styleId="ae">
    <w:name w:val="文件标题"/>
    <w:basedOn w:val="a"/>
    <w:pPr>
      <w:spacing w:beforeLines="100" w:before="312" w:afterLines="100" w:after="312" w:line="600" w:lineRule="exact"/>
      <w:jc w:val="center"/>
    </w:pPr>
    <w:rPr>
      <w:rFonts w:ascii="方正小标宋简体" w:eastAsia="方正小标宋简体" w:hAnsi="方正小标宋简体" w:cs="方正小标宋简体"/>
      <w:sz w:val="44"/>
      <w:szCs w:val="44"/>
    </w:rPr>
  </w:style>
  <w:style w:type="paragraph" w:customStyle="1" w:styleId="af1">
    <w:name w:val="正文题头"/>
    <w:basedOn w:val="a"/>
    <w:pPr>
      <w:spacing w:line="580" w:lineRule="exact"/>
    </w:pPr>
    <w:rPr>
      <w:rFonts w:ascii="方正仿宋_GBK" w:eastAsia="方正仿宋_GBK" w:hAnsi="方正仿宋_GBK" w:cs="方正仿宋_GBK"/>
      <w:sz w:val="32"/>
      <w:szCs w:val="32"/>
    </w:rPr>
  </w:style>
  <w:style w:type="paragraph" w:styleId="af5">
    <w:name w:val="Normal (Web)"/>
    <w:basedOn w:val="a"/>
    <w:uiPriority w:val="99"/>
    <w:unhideWhenUsed/>
    <w:rsid w:val="00B56AE3"/>
    <w:pPr>
      <w:widowControl/>
      <w:spacing w:before="100" w:beforeAutospacing="1" w:after="100" w:afterAutospacing="1"/>
      <w:jc w:val="left"/>
    </w:pPr>
    <w:rPr>
      <w:rFonts w:ascii="宋体" w:hAnsi="宋体" w:cs="宋体"/>
      <w:kern w:val="0"/>
      <w:sz w:val="24"/>
      <w:szCs w:val="24"/>
    </w:rPr>
  </w:style>
  <w:style w:type="character" w:styleId="af6">
    <w:name w:val="Strong"/>
    <w:basedOn w:val="a1"/>
    <w:uiPriority w:val="22"/>
    <w:qFormat/>
    <w:rsid w:val="00B56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97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463</Words>
  <Characters>2641</Characters>
  <Application>Microsoft Office Word</Application>
  <DocSecurity>0</DocSecurity>
  <Lines>22</Lines>
  <Paragraphs>6</Paragraphs>
  <ScaleCrop>false</ScaleCrop>
  <Company>微软中国</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重庆市通管局稿纸</dc:title>
  <dc:subject/>
  <dc:creator>洪培耀</dc:creator>
  <cp:keywords>通管局 简函 稿纸</cp:keywords>
  <dc:description/>
  <cp:lastModifiedBy>洪培耀</cp:lastModifiedBy>
  <cp:revision>3</cp:revision>
  <dcterms:created xsi:type="dcterms:W3CDTF">2022-05-18T10:49:00Z</dcterms:created>
  <dcterms:modified xsi:type="dcterms:W3CDTF">2022-05-18T11:05:00Z</dcterms:modified>
</cp:coreProperties>
</file>