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关于电信业务资费实行市场调节价的通告</w:t>
      </w:r>
    </w:p>
    <w:p>
      <w:pPr>
        <w:jc w:val="center"/>
        <w:rPr>
          <w:rFonts w:hint="eastAsia"/>
        </w:rPr>
      </w:pPr>
      <w:r>
        <w:rPr>
          <w:rFonts w:hint="eastAsia"/>
        </w:rPr>
        <w:t>（工信部联通[2014]182号）</w:t>
      </w:r>
    </w:p>
    <w:p>
      <w:pPr>
        <w:rPr>
          <w:rFonts w:hint="eastAsia"/>
        </w:rPr>
      </w:pPr>
      <w:bookmarkStart w:id="1" w:name="_GoBack"/>
      <w:bookmarkEnd w:id="1"/>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为贯彻落实党的十八届</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"https://baike.baidu.com/item/%E4%B8%89%E4%B8%AD%E5%85%A8%E4%BC%9A" \t "https://baike.baidu.com/item/%E5%85%B3%E4%BA%8E%E7%94%B5%E4%BF%A1%E4%B8%9A%E5%8A%A1%E8%B5%84%E8%B4%B9%E5%AE%9E%E8%A1%8C%E5%B8%82%E5%9C%BA%E8%B0%83%E8%8A%82%E4%BB%B7%E7%9A%84%E9%80%9A%E5%91%8A/_blank"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三中全会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关于全面深化改革、完善主要由市场决定价格的机制精神，按照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"https://baike.baidu.com/item/%E5%9B%BD%E5%8A%A1%E9%99%A2" \t "https://baike.baidu.com/item/%E5%85%B3%E4%BA%8E%E7%94%B5%E4%BF%A1%E4%B8%9A%E5%8A%A1%E8%B5%84%E8%B4%B9%E5%AE%9E%E8%A1%8C%E5%B8%82%E5%9C%BA%E8%B0%83%E8%8A%82%E4%BB%B7%E7%9A%84%E9%80%9A%E5%91%8A/_blank"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国务院</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《关于取消和下放一批行政审批项目的决定》要求，决定放开各类电信业务资费。现将有关事项通告如下：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一、所有电信业务资费均实行市场调节价。电信企业可以根据市场情况和用户需求制定电信业务资费方案，自主确定具体资费结构、资费标准及计费方式。</w:t>
      </w:r>
      <w:r>
        <w:rPr>
          <w:rFonts w:hint="default" w:ascii="Helvetica" w:hAnsi="Helvetica" w:eastAsia="Helvetica" w:cs="Helvetica"/>
          <w:i w:val="0"/>
          <w:caps w:val="0"/>
          <w:color w:val="3366CC"/>
          <w:spacing w:val="0"/>
          <w:kern w:val="0"/>
          <w:sz w:val="18"/>
          <w:szCs w:val="18"/>
          <w:bdr w:val="none" w:color="auto" w:sz="0" w:space="0"/>
          <w:shd w:val="clear" w:fill="FFFFFF"/>
          <w:vertAlign w:val="baseline"/>
          <w:lang w:val="en-US" w:eastAsia="zh-CN" w:bidi="ar"/>
        </w:rPr>
        <w:t> [1]</w:t>
      </w:r>
      <w:bookmarkStart w:id="0" w:name="ref_[1]_13610813"/>
      <w:r>
        <w:rPr>
          <w:rFonts w:hint="default" w:ascii="Helvetica" w:hAnsi="Helvetica" w:eastAsia="Helvetica" w:cs="Helvetica"/>
          <w:i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电信企业自主制定电信业务资费方案时，应当遵循合法、公平、诚信原则，考虑用户的不同需求，提供业务打包等多种资费方案供用户选择。资费方案结构应科学合理、简单清晰，方案中需列明资费标准、计费方式、对应服务等内容。对涉及用户基本通信需求的固定语音、移动语音、短信息、宽带等业务，电信企业进行打包销售时，必须另外提供包内单项业务单独的资费方案。鼓励电信企业为城乡低收入群体提供更加优惠的资费方案。在同一本地网营业区（或业务区）内，电信企业应保证具有同等交易条件的同类用户对资费方案具有同等的选择权利。涉及在全国或跨省（自治区、直辖市）执行的资费方案，应在执行前告知工业和信息化部、国家发展改革委，其他资费方案应在执行前告知省（自治区、直辖市）通信管理局、同级价格主管部门。</w:t>
      </w:r>
      <w:r>
        <w:rPr>
          <w:rFonts w:hint="default" w:ascii="Helvetica" w:hAnsi="Helvetica" w:eastAsia="Helvetica" w:cs="Helvetica"/>
          <w:i w:val="0"/>
          <w:caps w:val="0"/>
          <w:color w:val="3366CC"/>
          <w:spacing w:val="0"/>
          <w:kern w:val="0"/>
          <w:sz w:val="18"/>
          <w:szCs w:val="18"/>
          <w:bdr w:val="none" w:color="auto" w:sz="0" w:space="0"/>
          <w:shd w:val="clear" w:fill="FFFFFF"/>
          <w:vertAlign w:val="baseline"/>
          <w:lang w:val="en-US" w:eastAsia="zh-CN" w:bidi="ar"/>
        </w:rPr>
        <w:t> [1]</w:t>
      </w:r>
      <w:r>
        <w:rPr>
          <w:rFonts w:hint="default" w:ascii="Helvetica" w:hAnsi="Helvetica" w:eastAsia="Helvetica" w:cs="Helvetica"/>
          <w:i w:val="0"/>
          <w:caps w:val="0"/>
          <w:color w:val="136EC2"/>
          <w:spacing w:val="0"/>
          <w:kern w:val="0"/>
          <w:sz w:val="0"/>
          <w:szCs w:val="0"/>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电信企业应进一步提高资费透明度，建立资费方案公示制度，通过营业厅、代理代办点、网站等方式公布所有面向公众市场的在售资费方案。在业务宣传推广时应全面、准确，对资费方案限制性条件及其他需引起用户注意的事项，应履行提醒义务，不得片面夸大资费优惠幅度或作容易引起用户误解的虚假宣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四、电信企业与用户签订的协议中应包含资费标准、计费方式、对应服务和适用期限等内容。应充分尊重用户</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"https://baike.baidu.com/item/%E8%87%AA%E4%B8%BB%E9%80%89%E6%8B%A9%E6%9D%83/9591176" \t "https://baike.baidu.com/item/%E5%85%B3%E4%BA%8E%E7%94%B5%E4%BF%A1%E4%B8%9A%E5%8A%A1%E8%B5%84%E8%B4%B9%E5%AE%9E%E8%A1%8C%E5%B8%82%E5%9C%BA%E8%B0%83%E8%8A%82%E4%BB%B7%E7%9A%84%E9%80%9A%E5%91%8A/_blank"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自主选择权</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为用户选择适宜资费方案提供便利和必要帮助，不得以任何形式强制或限制用户选择其指定的资费方案，未经用户同意，不得擅自更改与用户约定的资费方案。在计费过程中，应按照相关标准准确计费，至少提供一种便捷的自助查询方式，供用户查询自身通信费用信息，确保用户明明白白消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电信企业要严格执行有关政策，履行社会责任，建立健全电信资费内部管理制度，自觉规范经营行为，努力降低经营成本，为用户提供更优质、更低廉、更透明的电信服务。各省（自治区、直辖市）通信管理局和同级价格主管部门按各自法定职责加强对本地电信企业的指导、监督，加强事中事后监管，切实保护用户合法权益，遇到新情况、新问题应及时报工业和信息化部、国家发展改革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通告自2014年5月10日起执行。《国家计委、邮电部关于进一步规范电信资费文件的通知》（计价费[1997]2485号）、《国家计委、信息产业部关于印发省（区、市）通信管理局会同同级价格主管部门管理的电信业务收费项目的通知》（计价格[2002]1320号）、《国家计委、信息产业部关于印发&lt;电信资费审批备案程序规定（试行）&gt;的通知》（计价格[2002]1489号）</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24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