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04A8" w:rsidRDefault="00CE04A8" w:rsidP="00CE04A8">
      <w:pPr>
        <w:widowControl/>
        <w:spacing w:before="100" w:beforeAutospacing="1" w:after="100" w:afterAutospacing="1"/>
        <w:jc w:val="left"/>
        <w:outlineLvl w:val="0"/>
        <w:rPr>
          <w:rFonts w:ascii="宋体" w:hAnsi="宋体" w:cs="宋体"/>
          <w:b/>
          <w:bCs/>
          <w:kern w:val="36"/>
          <w:sz w:val="48"/>
          <w:szCs w:val="48"/>
        </w:rPr>
      </w:pPr>
      <w:r w:rsidRPr="00CE04A8">
        <w:rPr>
          <w:rFonts w:ascii="宋体" w:hAnsi="宋体" w:cs="宋体"/>
          <w:b/>
          <w:bCs/>
          <w:kern w:val="36"/>
          <w:sz w:val="48"/>
          <w:szCs w:val="48"/>
        </w:rPr>
        <w:t>住房城乡建设部 工业和信息化部关于贯彻落实光纤到户国家标准的通知</w:t>
      </w:r>
    </w:p>
    <w:p w:rsidR="00CE04A8" w:rsidRDefault="00CE04A8" w:rsidP="00CE04A8">
      <w:pPr>
        <w:pStyle w:val="newstyle15"/>
        <w:spacing w:before="0" w:beforeAutospacing="0" w:after="0" w:afterAutospacing="0"/>
        <w:jc w:val="center"/>
      </w:pPr>
      <w:r>
        <w:rPr>
          <w:rFonts w:hint="eastAsia"/>
          <w:color w:val="000000"/>
        </w:rPr>
        <w:t xml:space="preserve">建标[2013]36号 </w:t>
      </w:r>
    </w:p>
    <w:p w:rsidR="00CE04A8" w:rsidRDefault="00CE04A8" w:rsidP="00CE04A8">
      <w:pPr>
        <w:pStyle w:val="newstyle15"/>
        <w:spacing w:before="312" w:beforeAutospacing="0" w:after="0" w:afterAutospacing="0"/>
      </w:pPr>
      <w:r>
        <w:rPr>
          <w:rFonts w:hint="eastAsia"/>
          <w:color w:val="000000"/>
        </w:rPr>
        <w:t xml:space="preserve">各省、自治区、直辖市住房城乡建设厅（建委、建交委）、通信管理局，有关单位： </w:t>
      </w:r>
    </w:p>
    <w:p w:rsidR="00CE04A8" w:rsidRDefault="00CE04A8" w:rsidP="00CE04A8">
      <w:pPr>
        <w:pStyle w:val="newstyle15"/>
        <w:spacing w:before="0" w:beforeAutospacing="0" w:after="0" w:afterAutospacing="0"/>
        <w:ind w:firstLine="480"/>
      </w:pPr>
      <w:r>
        <w:rPr>
          <w:rFonts w:hint="eastAsia"/>
          <w:color w:val="000000"/>
        </w:rPr>
        <w:br/>
      </w:r>
      <w:r>
        <w:rPr>
          <w:rFonts w:hint="eastAsia"/>
          <w:color w:val="000000"/>
        </w:rPr>
        <w:br/>
        <w:t xml:space="preserve">    为全面贯彻《国民经济和社会发展第十二个五年规划纲要》、《“十二五”国家战略性新兴产业发展规划》以及国务院关于加快宽带中国建设的要求，加快推进光纤到户建设，充分发挥光纤宽带网络在经济社会发展中的战略性、基础性作用，全面提升国家信息化水平，住房城乡建设部发布了《住宅区和住宅建筑内光纤到户通信设施工程设计规范》及《住宅区和住宅建筑内光纤到户通信设施工程施工及验收规范》两项国家标准（以下简称光纤到户国家标准），现就贯彻落实标准有关要求通知如下： </w:t>
      </w:r>
    </w:p>
    <w:p w:rsidR="00CE04A8" w:rsidRDefault="00CE04A8" w:rsidP="00CE04A8">
      <w:pPr>
        <w:pStyle w:val="newstyle15"/>
        <w:spacing w:before="0" w:beforeAutospacing="0" w:after="0" w:afterAutospacing="0"/>
        <w:ind w:firstLine="480"/>
      </w:pPr>
      <w:r>
        <w:rPr>
          <w:rFonts w:hint="eastAsia"/>
          <w:b/>
          <w:bCs/>
          <w:color w:val="000000"/>
        </w:rPr>
        <w:br/>
      </w:r>
      <w:r>
        <w:rPr>
          <w:rFonts w:hint="eastAsia"/>
          <w:b/>
          <w:bCs/>
          <w:color w:val="000000"/>
        </w:rPr>
        <w:br/>
        <w:t xml:space="preserve">    一、充分认识贯彻落实光纤到户国家标准的重要性和必要性 </w:t>
      </w:r>
    </w:p>
    <w:p w:rsidR="00CE04A8" w:rsidRDefault="00CE04A8" w:rsidP="00CE04A8">
      <w:pPr>
        <w:pStyle w:val="newstyle15"/>
        <w:spacing w:before="0" w:beforeAutospacing="0" w:after="0" w:afterAutospacing="0"/>
        <w:ind w:firstLine="480"/>
      </w:pPr>
      <w:r>
        <w:rPr>
          <w:rFonts w:hint="eastAsia"/>
          <w:color w:val="000000"/>
        </w:rPr>
        <w:t>贯彻落实光纤到户国家标准、加快推进光纤到户建设是加快宽带网络发展、提升宽带基础设施水平的关键要素，是实施宽带中国工程、构建宽带、泛在、融合、安全的国家信息基础设施的迫切需要，是促进传统产业改造升级、推动信息化和工业化深度融合</w:t>
      </w:r>
      <w:r>
        <w:rPr>
          <w:rFonts w:hint="eastAsia"/>
          <w:color w:val="000000"/>
        </w:rPr>
        <w:lastRenderedPageBreak/>
        <w:t xml:space="preserve">的重要动力，对于转变经济发展方式，调整优化产业结构，促进经济社会可持续发展，提升国家综合竞争力具有重要的战略意义。 </w:t>
      </w:r>
    </w:p>
    <w:p w:rsidR="00CE04A8" w:rsidRDefault="00CE04A8" w:rsidP="00CE04A8">
      <w:pPr>
        <w:pStyle w:val="newstyle15"/>
        <w:spacing w:before="0" w:beforeAutospacing="0" w:after="0" w:afterAutospacing="0"/>
        <w:ind w:firstLine="480"/>
      </w:pPr>
      <w:r>
        <w:rPr>
          <w:rFonts w:hint="eastAsia"/>
          <w:color w:val="000000"/>
        </w:rPr>
        <w:t xml:space="preserve">近年来，我国宽带网络发展取得了长足的进步，宽带网络覆盖和接入能力逐步提高，但我国宽带发展水平与全社会日益增长的需求还存在比较突出的矛盾、与国际先进水平相比还存在较大差距，面临“慢进亦退”的风险，加快宽带发展势在必行。目前，我国宽带接入主要采用以非对称数字用户环路（ADSL）为代表的铜线宽带技术，升级改造存在固有的技术瓶颈。要加快宽带发展，必须推动技术换代和网络改造，实现光纤到户。与此同时，光纤到户建设中存在建设标准难以落实、多部门管理协调机制不完善、责任要求需进一步明确等问题，有必要制定政策措施，切实贯彻落实光纤到户国家标准的有关规定，着力解决光纤到户建设中的现实难题。 </w:t>
      </w:r>
    </w:p>
    <w:p w:rsidR="00CE04A8" w:rsidRDefault="00CE04A8" w:rsidP="00CE04A8">
      <w:pPr>
        <w:pStyle w:val="newstyle15"/>
        <w:spacing w:before="0" w:beforeAutospacing="0" w:after="0" w:afterAutospacing="0"/>
        <w:ind w:firstLine="480"/>
      </w:pPr>
      <w:r>
        <w:rPr>
          <w:rFonts w:hint="eastAsia"/>
          <w:b/>
          <w:bCs/>
          <w:color w:val="000000"/>
        </w:rPr>
        <w:br/>
      </w:r>
      <w:r>
        <w:rPr>
          <w:rFonts w:hint="eastAsia"/>
          <w:b/>
          <w:bCs/>
          <w:color w:val="000000"/>
        </w:rPr>
        <w:br/>
        <w:t xml:space="preserve">    二、全面实施新建住宅建筑光纤到户 </w:t>
      </w:r>
    </w:p>
    <w:p w:rsidR="00CE04A8" w:rsidRDefault="00CE04A8" w:rsidP="00CE04A8">
      <w:pPr>
        <w:pStyle w:val="newstyle15"/>
        <w:spacing w:before="0" w:beforeAutospacing="0" w:after="0" w:afterAutospacing="0"/>
        <w:ind w:firstLine="480"/>
      </w:pPr>
      <w:r>
        <w:rPr>
          <w:rFonts w:hint="eastAsia"/>
          <w:color w:val="000000"/>
        </w:rPr>
        <w:t xml:space="preserve">根据光纤到户国家标准的要求，自2013年4月1日起，在公用电信网已实现光纤传输的县级及以上城区，新建住宅区和住宅建筑的通信设施应采用光纤到户方式建设，同时鼓励和支持有条件的乡镇、农村地区新建住宅区和住宅建筑实现光纤到户。 </w:t>
      </w:r>
    </w:p>
    <w:p w:rsidR="00CE04A8" w:rsidRDefault="00CE04A8" w:rsidP="00CE04A8">
      <w:pPr>
        <w:pStyle w:val="newstyle15"/>
        <w:spacing w:before="0" w:beforeAutospacing="0" w:after="0" w:afterAutospacing="0"/>
        <w:ind w:firstLine="480"/>
      </w:pPr>
      <w:r>
        <w:rPr>
          <w:rFonts w:hint="eastAsia"/>
          <w:color w:val="000000"/>
        </w:rPr>
        <w:t xml:space="preserve">（一）住宅建设单位必须同步建设住宅区内通信管道和楼内通信暗管、暗线等通信设施，预先铺设入户光纤、预留设备间，所需投资纳入相应建设项目概算。 </w:t>
      </w:r>
    </w:p>
    <w:p w:rsidR="00CE04A8" w:rsidRDefault="00CE04A8" w:rsidP="00CE04A8">
      <w:pPr>
        <w:pStyle w:val="newstyle15"/>
        <w:spacing w:before="0" w:beforeAutospacing="0" w:after="0" w:afterAutospacing="0"/>
        <w:ind w:firstLine="480"/>
      </w:pPr>
      <w:r>
        <w:rPr>
          <w:rFonts w:hint="eastAsia"/>
          <w:color w:val="000000"/>
        </w:rPr>
        <w:t xml:space="preserve">（二）新建住宅区和住宅建筑涉及的通信管道、楼内光纤、设备间等通信配套设施，应满足多家电信运营企业共享使用的需要，保障用户自由选择的权利。 </w:t>
      </w:r>
    </w:p>
    <w:p w:rsidR="00CE04A8" w:rsidRDefault="00CE04A8" w:rsidP="00CE04A8">
      <w:pPr>
        <w:pStyle w:val="newstyle15"/>
        <w:spacing w:before="0" w:beforeAutospacing="0" w:after="0" w:afterAutospacing="0"/>
        <w:ind w:firstLine="480"/>
      </w:pPr>
      <w:r>
        <w:rPr>
          <w:rFonts w:hint="eastAsia"/>
          <w:color w:val="000000"/>
        </w:rPr>
        <w:t>（三）设计单位应按照光纤到户国家标准要求和合同约定进行住宅区和住宅建筑通信配套设施的设计，施工图设计文件审查机构应对涉及光纤到户国家标准的内容进行设</w:t>
      </w:r>
      <w:r>
        <w:rPr>
          <w:rFonts w:hint="eastAsia"/>
          <w:color w:val="000000"/>
        </w:rPr>
        <w:lastRenderedPageBreak/>
        <w:t xml:space="preserve">计审查。住房城乡建设、规划主管部门在核发建设工程规划许可证、施工许可证时，应依照法定职责严格把关。 </w:t>
      </w:r>
    </w:p>
    <w:p w:rsidR="00CE04A8" w:rsidRDefault="00CE04A8" w:rsidP="00CE04A8">
      <w:pPr>
        <w:pStyle w:val="newstyle15"/>
        <w:spacing w:before="0" w:beforeAutospacing="0" w:after="0" w:afterAutospacing="0"/>
        <w:ind w:firstLine="480"/>
      </w:pPr>
      <w:r>
        <w:rPr>
          <w:rFonts w:hint="eastAsia"/>
          <w:color w:val="000000"/>
        </w:rPr>
        <w:t xml:space="preserve">（四）住宅建设单位应组织对光纤到户通信设施进行验收，并将验收文件报所在地通信行业主管部门备案。各地通信行业主管部门及通信工程质量监督机构要认真履行职责，严把质量关，加强对光纤到户工程质量的监督管理。光纤到户通信设施未按要求验收或者验收不合格的，不得接入公用电信网。 </w:t>
      </w:r>
    </w:p>
    <w:p w:rsidR="00CE04A8" w:rsidRDefault="00CE04A8" w:rsidP="00CE04A8">
      <w:pPr>
        <w:pStyle w:val="newstyle15"/>
        <w:spacing w:before="0" w:beforeAutospacing="0" w:after="0" w:afterAutospacing="0"/>
        <w:ind w:firstLine="480"/>
      </w:pPr>
      <w:r>
        <w:rPr>
          <w:rFonts w:hint="eastAsia"/>
          <w:b/>
          <w:bCs/>
          <w:color w:val="000000"/>
        </w:rPr>
        <w:br/>
      </w:r>
      <w:r>
        <w:rPr>
          <w:rFonts w:hint="eastAsia"/>
          <w:b/>
          <w:bCs/>
          <w:color w:val="000000"/>
        </w:rPr>
        <w:br/>
        <w:t xml:space="preserve">    三、加快推动</w:t>
      </w:r>
      <w:proofErr w:type="gramStart"/>
      <w:r>
        <w:rPr>
          <w:rFonts w:hint="eastAsia"/>
          <w:b/>
          <w:bCs/>
          <w:color w:val="000000"/>
        </w:rPr>
        <w:t>既有住宅</w:t>
      </w:r>
      <w:proofErr w:type="gramEnd"/>
      <w:r>
        <w:rPr>
          <w:rFonts w:hint="eastAsia"/>
          <w:b/>
          <w:bCs/>
          <w:color w:val="000000"/>
        </w:rPr>
        <w:t xml:space="preserve">建筑光纤到户改造 </w:t>
      </w:r>
    </w:p>
    <w:p w:rsidR="00CE04A8" w:rsidRDefault="00CE04A8" w:rsidP="00CE04A8">
      <w:pPr>
        <w:pStyle w:val="newstyle15"/>
        <w:spacing w:before="0" w:beforeAutospacing="0" w:after="0" w:afterAutospacing="0"/>
        <w:ind w:firstLine="480"/>
      </w:pPr>
      <w:proofErr w:type="gramStart"/>
      <w:r>
        <w:rPr>
          <w:rFonts w:hint="eastAsia"/>
          <w:color w:val="000000"/>
        </w:rPr>
        <w:t>既有住宅</w:t>
      </w:r>
      <w:proofErr w:type="gramEnd"/>
      <w:r>
        <w:rPr>
          <w:rFonts w:hint="eastAsia"/>
          <w:color w:val="000000"/>
        </w:rPr>
        <w:t>建筑光纤到户改造是全面实现光纤到户的难点，各单位应参照光纤到户国家标准，加快推动</w:t>
      </w:r>
      <w:proofErr w:type="gramStart"/>
      <w:r>
        <w:rPr>
          <w:rFonts w:hint="eastAsia"/>
          <w:color w:val="000000"/>
        </w:rPr>
        <w:t>既有住宅</w:t>
      </w:r>
      <w:proofErr w:type="gramEnd"/>
      <w:r>
        <w:rPr>
          <w:rFonts w:hint="eastAsia"/>
          <w:color w:val="000000"/>
        </w:rPr>
        <w:t xml:space="preserve">建筑逐步实施光纤到户改造。 </w:t>
      </w:r>
    </w:p>
    <w:p w:rsidR="00CE04A8" w:rsidRDefault="00CE04A8" w:rsidP="00CE04A8">
      <w:pPr>
        <w:pStyle w:val="newstyle15"/>
        <w:spacing w:before="0" w:beforeAutospacing="0" w:after="0" w:afterAutospacing="0"/>
        <w:ind w:firstLine="480"/>
      </w:pPr>
      <w:r>
        <w:rPr>
          <w:rFonts w:hint="eastAsia"/>
          <w:color w:val="000000"/>
        </w:rPr>
        <w:t>（一）各地住房城乡建设、通信行业主管部门要加大对既有住宅区和住宅建筑通信配套设施资源共享的监管力度，对阻挠正常光纤到户改造的行为予以纠正，切实解决光纤到户改造</w:t>
      </w:r>
      <w:proofErr w:type="gramStart"/>
      <w:r>
        <w:rPr>
          <w:rFonts w:hint="eastAsia"/>
          <w:color w:val="000000"/>
        </w:rPr>
        <w:t>入场难</w:t>
      </w:r>
      <w:proofErr w:type="gramEnd"/>
      <w:r>
        <w:rPr>
          <w:rFonts w:hint="eastAsia"/>
          <w:color w:val="000000"/>
        </w:rPr>
        <w:t xml:space="preserve">的问题。 </w:t>
      </w:r>
    </w:p>
    <w:p w:rsidR="00CE04A8" w:rsidRDefault="00CE04A8" w:rsidP="00CE04A8">
      <w:pPr>
        <w:pStyle w:val="newstyle15"/>
        <w:spacing w:before="0" w:beforeAutospacing="0" w:after="0" w:afterAutospacing="0"/>
        <w:ind w:firstLine="480"/>
      </w:pPr>
      <w:r>
        <w:rPr>
          <w:rFonts w:hint="eastAsia"/>
          <w:color w:val="000000"/>
        </w:rPr>
        <w:t xml:space="preserve">（二）各地通信行业主管部门要加强对电信运营企业的指导，积极组织编制光纤到户改造的实施计划。 </w:t>
      </w:r>
    </w:p>
    <w:p w:rsidR="00CE04A8" w:rsidRDefault="00CE04A8" w:rsidP="00CE04A8">
      <w:pPr>
        <w:pStyle w:val="newstyle15"/>
        <w:spacing w:before="0" w:beforeAutospacing="0" w:after="0" w:afterAutospacing="0"/>
        <w:ind w:firstLine="480"/>
      </w:pPr>
      <w:r>
        <w:rPr>
          <w:rFonts w:hint="eastAsia"/>
          <w:color w:val="000000"/>
        </w:rPr>
        <w:t xml:space="preserve">（三）住宅建设单位、物业服务企业要积极支持光纤到户改造，为光纤到户改造提供便利条件。不得与任何企业签订垄断性协议，不得限制各电信运营企业平等接入和使用，不得以任何方式限制用户选择权。 </w:t>
      </w:r>
    </w:p>
    <w:p w:rsidR="00CE04A8" w:rsidRDefault="00CE04A8" w:rsidP="00CE04A8">
      <w:pPr>
        <w:pStyle w:val="newstyle15"/>
        <w:spacing w:before="0" w:beforeAutospacing="0" w:after="0" w:afterAutospacing="0"/>
        <w:ind w:firstLine="480"/>
      </w:pPr>
      <w:r>
        <w:rPr>
          <w:rFonts w:hint="eastAsia"/>
          <w:b/>
          <w:bCs/>
          <w:color w:val="000000"/>
        </w:rPr>
        <w:br/>
      </w:r>
      <w:r>
        <w:rPr>
          <w:rFonts w:hint="eastAsia"/>
          <w:b/>
          <w:bCs/>
          <w:color w:val="000000"/>
        </w:rPr>
        <w:br/>
        <w:t xml:space="preserve">    四、切实落实各项保障措施 </w:t>
      </w:r>
    </w:p>
    <w:p w:rsidR="00CE04A8" w:rsidRDefault="00CE04A8" w:rsidP="00CE04A8">
      <w:pPr>
        <w:pStyle w:val="newstyle15"/>
        <w:spacing w:before="0" w:beforeAutospacing="0" w:after="0" w:afterAutospacing="0"/>
        <w:ind w:firstLine="480"/>
      </w:pPr>
      <w:r>
        <w:rPr>
          <w:rFonts w:hint="eastAsia"/>
          <w:color w:val="000000"/>
        </w:rPr>
        <w:lastRenderedPageBreak/>
        <w:t xml:space="preserve">各地、各有关部门要以光纤到户国家标准发布实施为契机，加强组织领导，密切协调配合，切实落实各项保障措施。 </w:t>
      </w:r>
    </w:p>
    <w:p w:rsidR="00CE04A8" w:rsidRDefault="00CE04A8" w:rsidP="00CE04A8">
      <w:pPr>
        <w:pStyle w:val="newstyle15"/>
        <w:spacing w:before="0" w:beforeAutospacing="0" w:after="0" w:afterAutospacing="0"/>
        <w:ind w:firstLine="480"/>
      </w:pPr>
      <w:r>
        <w:rPr>
          <w:rFonts w:hint="eastAsia"/>
          <w:color w:val="000000"/>
        </w:rPr>
        <w:t xml:space="preserve">（一）统一思想认识。各有关单位要统一思想，从解决社会关注、群众关切的民生问题，实践科学发展观、构建社会主义和谐社会的高度深刻认识贯彻落实光纤到户国家标准的重要意义，进一步增强责任感、使命感和紧迫感，加快推进光纤到户建设。 </w:t>
      </w:r>
    </w:p>
    <w:p w:rsidR="00CE04A8" w:rsidRDefault="00CE04A8" w:rsidP="00CE04A8">
      <w:pPr>
        <w:pStyle w:val="newstyle15"/>
        <w:spacing w:before="0" w:beforeAutospacing="0" w:after="0" w:afterAutospacing="0"/>
        <w:ind w:firstLine="480"/>
      </w:pPr>
      <w:r>
        <w:rPr>
          <w:rFonts w:hint="eastAsia"/>
          <w:color w:val="000000"/>
        </w:rPr>
        <w:t xml:space="preserve">（二）加大宣传力度。各有关单位要积极组织开展科普和政策宣传活动，增强公众对光纤到户的认识，争取社会各界的广泛理解和支持，营造良好的建设环境。 </w:t>
      </w:r>
    </w:p>
    <w:p w:rsidR="00CE04A8" w:rsidRDefault="00CE04A8" w:rsidP="00CE04A8">
      <w:pPr>
        <w:pStyle w:val="newstyle15"/>
        <w:spacing w:before="0" w:beforeAutospacing="0" w:after="0" w:afterAutospacing="0"/>
        <w:ind w:firstLine="480"/>
      </w:pPr>
      <w:r>
        <w:rPr>
          <w:rFonts w:hint="eastAsia"/>
          <w:color w:val="000000"/>
        </w:rPr>
        <w:t xml:space="preserve">（三）做好宣贯培训。各地住房城乡建设、通信行业主管部门要及时组织对工程质量监督、施工图审查、电信运营、设计、施工、监理等单位的宣贯培训，帮助相关企业准确理解和掌握标准有关规定，保障标准的顺利实施。 </w:t>
      </w:r>
    </w:p>
    <w:p w:rsidR="00CE04A8" w:rsidRDefault="00CE04A8" w:rsidP="00CE04A8">
      <w:pPr>
        <w:pStyle w:val="newstyle15"/>
        <w:spacing w:before="0" w:beforeAutospacing="0" w:after="0" w:afterAutospacing="0"/>
        <w:ind w:firstLine="480"/>
      </w:pPr>
      <w:r>
        <w:rPr>
          <w:rFonts w:hint="eastAsia"/>
          <w:color w:val="000000"/>
        </w:rPr>
        <w:t xml:space="preserve">（四）强化监督管理。各地住房城乡建设、通信行业主管部门要加大协调力度，组织开展光纤到户国家标准实施情况的监督检查，强化对相关单位的监督管理。 </w:t>
      </w:r>
    </w:p>
    <w:p w:rsidR="00CE04A8" w:rsidRDefault="00CE04A8" w:rsidP="00CE04A8">
      <w:pPr>
        <w:pStyle w:val="newstyle15"/>
        <w:wordWrap w:val="0"/>
        <w:spacing w:before="0" w:beforeAutospacing="0" w:after="0" w:afterAutospacing="0"/>
        <w:ind w:right="320" w:firstLine="480"/>
        <w:jc w:val="right"/>
      </w:pPr>
      <w:r>
        <w:rPr>
          <w:rFonts w:hint="eastAsia"/>
          <w:color w:val="000000"/>
        </w:rPr>
        <w:br/>
      </w:r>
      <w:r>
        <w:rPr>
          <w:rFonts w:hint="eastAsia"/>
          <w:color w:val="000000"/>
        </w:rPr>
        <w:br/>
      </w:r>
      <w:r>
        <w:rPr>
          <w:rFonts w:hint="eastAsia"/>
          <w:color w:val="000000"/>
        </w:rPr>
        <w:br/>
      </w:r>
      <w:r>
        <w:rPr>
          <w:rFonts w:hint="eastAsia"/>
          <w:color w:val="000000"/>
        </w:rPr>
        <w:br/>
        <w:t xml:space="preserve">住房城乡建设部 工业和信息化部 </w:t>
      </w:r>
    </w:p>
    <w:p w:rsidR="00CE04A8" w:rsidRDefault="00CE04A8" w:rsidP="00CE04A8">
      <w:pPr>
        <w:pStyle w:val="newstyle15"/>
        <w:wordWrap w:val="0"/>
        <w:spacing w:before="0" w:beforeAutospacing="0" w:after="0" w:afterAutospacing="0"/>
        <w:ind w:right="320" w:firstLine="480"/>
        <w:jc w:val="right"/>
      </w:pPr>
      <w:r>
        <w:rPr>
          <w:rFonts w:hint="eastAsia"/>
          <w:color w:val="000000"/>
        </w:rPr>
        <w:t xml:space="preserve">2013年3月11日   </w:t>
      </w:r>
    </w:p>
    <w:p w:rsidR="00CE04A8" w:rsidRPr="00CE04A8" w:rsidRDefault="00CE04A8" w:rsidP="00CE04A8">
      <w:pPr>
        <w:widowControl/>
        <w:spacing w:before="100" w:beforeAutospacing="1" w:after="100" w:afterAutospacing="1"/>
        <w:jc w:val="left"/>
        <w:outlineLvl w:val="0"/>
        <w:rPr>
          <w:rFonts w:ascii="宋体" w:hAnsi="宋体" w:cs="宋体" w:hint="eastAsia"/>
          <w:b/>
          <w:bCs/>
          <w:kern w:val="36"/>
          <w:sz w:val="48"/>
          <w:szCs w:val="48"/>
        </w:rPr>
      </w:pPr>
      <w:bookmarkStart w:id="0" w:name="_GoBack"/>
      <w:bookmarkEnd w:id="0"/>
    </w:p>
    <w:p w:rsidR="005C5BE7" w:rsidRPr="00A63D1F" w:rsidRDefault="005C5BE7" w:rsidP="00A63D1F"/>
    <w:sectPr w:rsidR="005C5BE7" w:rsidRPr="00A63D1F">
      <w:footerReference w:type="even" r:id="rId7"/>
      <w:footerReference w:type="default" r:id="rId8"/>
      <w:footerReference w:type="first" r:id="rId9"/>
      <w:pgSz w:w="11906" w:h="16838"/>
      <w:pgMar w:top="1757" w:right="1587" w:bottom="1757" w:left="1587" w:header="851" w:footer="992" w:gutter="0"/>
      <w:cols w:space="720"/>
      <w:titlePg/>
      <w:docGrid w:type="linesAndChars" w:linePitch="605" w:charSpace="-3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2F1" w:rsidRDefault="00F772F1">
      <w:r>
        <w:separator/>
      </w:r>
    </w:p>
  </w:endnote>
  <w:endnote w:type="continuationSeparator" w:id="0">
    <w:p w:rsidR="00F772F1" w:rsidRDefault="00F7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Tinos">
    <w:altName w:val="Traditional Arabic"/>
    <w:charset w:val="00"/>
    <w:family w:val="auto"/>
    <w:pitch w:val="default"/>
    <w:sig w:usb0="E0000AFF" w:usb1="500078FF" w:usb2="00000029" w:usb3="00000000" w:csb0="600001BF" w:csb1="DFF7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pPr>
    <w:r>
      <w:rPr>
        <w:rFonts w:hint="eastAsia"/>
      </w:rPr>
      <w:t xml:space="preserve">— </w:t>
    </w:r>
    <w:r>
      <w:fldChar w:fldCharType="begin"/>
    </w:r>
    <w:r>
      <w:instrText>PAGE   \* MERGEFORMAT</w:instrText>
    </w:r>
    <w:r>
      <w:fldChar w:fldCharType="separate"/>
    </w:r>
    <w:r w:rsidR="00CE04A8" w:rsidRPr="00CE04A8">
      <w:rPr>
        <w:noProof/>
        <w:lang w:val="zh-CN"/>
      </w:rPr>
      <w:t>2</w:t>
    </w:r>
    <w:r>
      <w:fldChar w:fldCharType="end"/>
    </w:r>
    <w: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wordWrap w:val="0"/>
      <w:jc w:val="right"/>
      <w:rPr>
        <w:lang w:val="zh-CN"/>
      </w:rPr>
    </w:pPr>
    <w:r>
      <w:rPr>
        <w:rFonts w:hint="eastAsia"/>
      </w:rPr>
      <w:t xml:space="preserve">— </w:t>
    </w:r>
    <w:r>
      <w:fldChar w:fldCharType="begin"/>
    </w:r>
    <w:r>
      <w:instrText>PAGE   \* MERGEFORMAT</w:instrText>
    </w:r>
    <w:r>
      <w:fldChar w:fldCharType="separate"/>
    </w:r>
    <w:r w:rsidR="00CE04A8" w:rsidRPr="00CE04A8">
      <w:rPr>
        <w:noProof/>
        <w:lang w:val="zh-CN"/>
      </w:rPr>
      <w:t>3</w:t>
    </w:r>
    <w:r>
      <w:fldChar w:fldCharType="end"/>
    </w:r>
    <w: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54" w:rsidRDefault="00705454">
    <w:pPr>
      <w:pStyle w:val="ab"/>
      <w:wordWrap w:val="0"/>
      <w:jc w:val="right"/>
    </w:pPr>
    <w:r>
      <w:rPr>
        <w:rFonts w:hint="eastAsia"/>
      </w:rPr>
      <w:t xml:space="preserve">— </w:t>
    </w:r>
    <w:r>
      <w:fldChar w:fldCharType="begin"/>
    </w:r>
    <w:r>
      <w:instrText>PAGE   \* MERGEFORMAT</w:instrText>
    </w:r>
    <w:r>
      <w:fldChar w:fldCharType="separate"/>
    </w:r>
    <w:r w:rsidR="00CE04A8" w:rsidRPr="00CE04A8">
      <w:rPr>
        <w:noProof/>
        <w:lang w:val="zh-CN"/>
      </w:rPr>
      <w:t>1</w:t>
    </w:r>
    <w:r>
      <w:fldChar w:fldCharType="end"/>
    </w:r>
    <w: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2F1" w:rsidRDefault="00F772F1">
      <w:r>
        <w:separator/>
      </w:r>
    </w:p>
  </w:footnote>
  <w:footnote w:type="continuationSeparator" w:id="0">
    <w:p w:rsidR="00F772F1" w:rsidRDefault="00F77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chineseCounting"/>
      <w:pStyle w:val="1"/>
      <w:suff w:val="nothing"/>
      <w:lvlText w:val="%1、"/>
      <w:lvlJc w:val="left"/>
      <w:pPr>
        <w:ind w:left="0" w:firstLine="0"/>
      </w:pPr>
      <w:rPr>
        <w:rFonts w:ascii="黑体" w:eastAsia="黑体" w:hAnsi="黑体" w:cs="宋体" w:hint="eastAsia"/>
        <w:kern w:val="2"/>
        <w:sz w:val="32"/>
        <w:szCs w:val="32"/>
      </w:rPr>
    </w:lvl>
    <w:lvl w:ilvl="1">
      <w:start w:val="1"/>
      <w:numFmt w:val="chineseCounting"/>
      <w:pStyle w:val="2"/>
      <w:suff w:val="nothing"/>
      <w:lvlText w:val="（%2）"/>
      <w:lvlJc w:val="left"/>
      <w:pPr>
        <w:ind w:left="0" w:firstLine="0"/>
      </w:pPr>
      <w:rPr>
        <w:rFonts w:ascii="楷体" w:eastAsia="楷体_GB2312" w:hAnsi="楷体" w:cs="宋体" w:hint="eastAsia"/>
        <w:kern w:val="2"/>
        <w:sz w:val="32"/>
        <w:szCs w:val="32"/>
      </w:rPr>
    </w:lvl>
    <w:lvl w:ilvl="2">
      <w:start w:val="1"/>
      <w:numFmt w:val="decimal"/>
      <w:pStyle w:val="3"/>
      <w:suff w:val="nothing"/>
      <w:lvlText w:val="%3．"/>
      <w:lvlJc w:val="left"/>
      <w:pPr>
        <w:ind w:left="0" w:firstLine="400"/>
      </w:pPr>
      <w:rPr>
        <w:rFonts w:ascii="Tinos" w:eastAsia="方正仿宋_GBK" w:hAnsi="Tinos" w:cs="宋体" w:hint="eastAsia"/>
        <w:kern w:val="2"/>
        <w:sz w:val="32"/>
        <w:szCs w:val="32"/>
      </w:rPr>
    </w:lvl>
    <w:lvl w:ilvl="3">
      <w:start w:val="1"/>
      <w:numFmt w:val="decimal"/>
      <w:pStyle w:val="4"/>
      <w:suff w:val="nothing"/>
      <w:lvlText w:val="（%4）"/>
      <w:lvlJc w:val="left"/>
      <w:pPr>
        <w:ind w:left="0" w:firstLine="402"/>
      </w:pPr>
      <w:rPr>
        <w:rFonts w:ascii="Tinos" w:eastAsia="方正仿宋_GBK" w:hAnsi="Tinos" w:cs="宋体" w:hint="eastAsia"/>
        <w:sz w:val="32"/>
        <w:szCs w:val="32"/>
      </w:rPr>
    </w:lvl>
    <w:lvl w:ilvl="4">
      <w:start w:val="1"/>
      <w:numFmt w:val="decimal"/>
      <w:pStyle w:val="5"/>
      <w:suff w:val="nothing"/>
      <w:lvlText w:val=""/>
      <w:lvlJc w:val="left"/>
      <w:pPr>
        <w:ind w:left="0" w:firstLine="402"/>
      </w:pPr>
      <w:rPr>
        <w:rFonts w:ascii="宋体" w:eastAsia="宋体" w:hAnsi="宋体" w:cs="宋体" w:hint="eastAsia"/>
      </w:rPr>
    </w:lvl>
    <w:lvl w:ilvl="5">
      <w:start w:val="1"/>
      <w:numFmt w:val="decimal"/>
      <w:pStyle w:val="6"/>
      <w:suff w:val="nothing"/>
      <w:lvlText w:val=""/>
      <w:lvlJc w:val="left"/>
      <w:pPr>
        <w:ind w:left="0" w:firstLine="402"/>
      </w:pPr>
      <w:rPr>
        <w:rFonts w:ascii="宋体" w:eastAsia="宋体" w:hAnsi="宋体" w:cs="宋体" w:hint="eastAsia"/>
      </w:rPr>
    </w:lvl>
    <w:lvl w:ilvl="6">
      <w:start w:val="1"/>
      <w:numFmt w:val="decimal"/>
      <w:pStyle w:val="7"/>
      <w:suff w:val="nothing"/>
      <w:lvlText w:val=""/>
      <w:lvlJc w:val="left"/>
      <w:pPr>
        <w:ind w:left="0" w:firstLine="402"/>
      </w:pPr>
      <w:rPr>
        <w:rFonts w:ascii="宋体" w:eastAsia="宋体" w:hAnsi="宋体" w:cs="宋体" w:hint="eastAsia"/>
      </w:rPr>
    </w:lvl>
    <w:lvl w:ilvl="7">
      <w:start w:val="1"/>
      <w:numFmt w:val="decimal"/>
      <w:pStyle w:val="8"/>
      <w:suff w:val="nothing"/>
      <w:lvlText w:val=""/>
      <w:lvlJc w:val="left"/>
      <w:pPr>
        <w:ind w:left="0" w:firstLine="402"/>
      </w:pPr>
      <w:rPr>
        <w:rFonts w:ascii="宋体" w:eastAsia="宋体" w:hAnsi="宋体" w:cs="宋体" w:hint="eastAsia"/>
      </w:rPr>
    </w:lvl>
    <w:lvl w:ilvl="8">
      <w:start w:val="1"/>
      <w:numFmt w:val="decimal"/>
      <w:pStyle w:val="9"/>
      <w:suff w:val="nothing"/>
      <w:lvlText w:val=""/>
      <w:lvlJc w:val="left"/>
      <w:pPr>
        <w:ind w:left="0" w:firstLine="402"/>
      </w:pPr>
      <w:rPr>
        <w:rFonts w:ascii="宋体" w:eastAsia="宋体" w:hAnsi="宋体" w:cs="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97"/>
  <w:drawingGridVerticalSpacing w:val="303"/>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A8"/>
    <w:rsid w:val="002673A8"/>
    <w:rsid w:val="005C5BE7"/>
    <w:rsid w:val="00644534"/>
    <w:rsid w:val="00705454"/>
    <w:rsid w:val="00A63D1F"/>
    <w:rsid w:val="00CE04A8"/>
    <w:rsid w:val="00F772F1"/>
    <w:rsid w:val="17433BE1"/>
    <w:rsid w:val="4BFF8ED5"/>
    <w:rsid w:val="52500053"/>
    <w:rsid w:val="7268F875"/>
    <w:rsid w:val="77FF701E"/>
    <w:rsid w:val="7FDFF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CBEFCEB"/>
  <w15:chartTrackingRefBased/>
  <w15:docId w15:val="{127C6A91-5084-4B6F-A0B3-6AABCD8F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nos" w:eastAsia="宋体" w:hAnsi="Tinos" w:cs="Tinos"/>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numPr>
        <w:numId w:val="1"/>
      </w:numPr>
      <w:spacing w:line="560" w:lineRule="exact"/>
      <w:ind w:firstLineChars="200" w:firstLine="200"/>
      <w:jc w:val="left"/>
      <w:outlineLvl w:val="0"/>
    </w:pPr>
    <w:rPr>
      <w:rFonts w:eastAsia="黑体" w:cs="方正仿宋_GBK"/>
      <w:bCs/>
      <w:kern w:val="44"/>
      <w:sz w:val="32"/>
      <w:szCs w:val="32"/>
    </w:rPr>
  </w:style>
  <w:style w:type="paragraph" w:styleId="2">
    <w:name w:val="heading 2"/>
    <w:basedOn w:val="a"/>
    <w:next w:val="a0"/>
    <w:qFormat/>
    <w:pPr>
      <w:numPr>
        <w:ilvl w:val="1"/>
        <w:numId w:val="1"/>
      </w:numPr>
      <w:ind w:firstLineChars="200" w:firstLine="640"/>
      <w:jc w:val="left"/>
      <w:outlineLvl w:val="1"/>
    </w:pPr>
    <w:rPr>
      <w:rFonts w:ascii="方正楷体_GBK" w:eastAsia="方正楷体_GBK" w:cs="方正仿宋_GBK"/>
      <w:bCs/>
      <w:sz w:val="32"/>
      <w:szCs w:val="32"/>
    </w:rPr>
  </w:style>
  <w:style w:type="paragraph" w:styleId="3">
    <w:name w:val="heading 3"/>
    <w:basedOn w:val="a"/>
    <w:next w:val="a0"/>
    <w:qFormat/>
    <w:pPr>
      <w:numPr>
        <w:ilvl w:val="2"/>
        <w:numId w:val="1"/>
      </w:numPr>
      <w:spacing w:line="560" w:lineRule="exact"/>
      <w:ind w:firstLineChars="200" w:firstLine="420"/>
      <w:jc w:val="left"/>
      <w:outlineLvl w:val="2"/>
    </w:pPr>
    <w:rPr>
      <w:rFonts w:eastAsia="方正仿宋_GBK" w:cs="方正仿宋_GBK"/>
      <w:sz w:val="32"/>
      <w:szCs w:val="32"/>
    </w:rPr>
  </w:style>
  <w:style w:type="paragraph" w:styleId="4">
    <w:name w:val="heading 4"/>
    <w:basedOn w:val="a"/>
    <w:next w:val="a0"/>
    <w:qFormat/>
    <w:pPr>
      <w:numPr>
        <w:ilvl w:val="3"/>
        <w:numId w:val="1"/>
      </w:numPr>
      <w:spacing w:line="560" w:lineRule="exact"/>
      <w:ind w:firstLineChars="200" w:firstLine="420"/>
      <w:jc w:val="left"/>
      <w:outlineLvl w:val="3"/>
    </w:pPr>
    <w:rPr>
      <w:rFonts w:eastAsia="方正仿宋_GBK" w:cs="方正仿宋_GBK"/>
      <w:sz w:val="32"/>
      <w:szCs w:val="32"/>
    </w:rPr>
  </w:style>
  <w:style w:type="paragraph" w:styleId="5">
    <w:name w:val="heading 5"/>
    <w:basedOn w:val="a"/>
    <w:next w:val="a"/>
    <w:qFormat/>
    <w:pPr>
      <w:keepNext/>
      <w:keepLines/>
      <w:numPr>
        <w:ilvl w:val="4"/>
        <w:numId w:val="1"/>
      </w:numPr>
      <w:spacing w:before="280" w:after="290" w:line="372" w:lineRule="auto"/>
      <w:outlineLvl w:val="4"/>
    </w:pPr>
    <w:rPr>
      <w:b/>
      <w:sz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1"/>
      </w:numPr>
      <w:spacing w:before="240" w:after="64" w:line="317" w:lineRule="auto"/>
      <w:outlineLvl w:val="6"/>
    </w:pPr>
    <w:rPr>
      <w:b/>
      <w:sz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styleId="a6">
    <w:name w:val="footnote reference"/>
    <w:rPr>
      <w:vertAlign w:val="superscript"/>
    </w:rPr>
  </w:style>
  <w:style w:type="character" w:customStyle="1" w:styleId="a7">
    <w:name w:val="正文内容（字符）"/>
    <w:rPr>
      <w:rFonts w:ascii="Tinos" w:eastAsia="方正仿宋_GBK" w:hAnsi="Tinos"/>
      <w:sz w:val="32"/>
    </w:rPr>
  </w:style>
  <w:style w:type="character" w:customStyle="1" w:styleId="a8">
    <w:name w:val="批注框文本 字符"/>
    <w:link w:val="a9"/>
    <w:rPr>
      <w:kern w:val="2"/>
      <w:sz w:val="18"/>
      <w:szCs w:val="18"/>
    </w:rPr>
  </w:style>
  <w:style w:type="character" w:customStyle="1" w:styleId="aa">
    <w:name w:val="页脚 字符"/>
    <w:link w:val="ab"/>
    <w:rPr>
      <w:rFonts w:ascii="宋体" w:eastAsia="宋体" w:hAnsi="宋体" w:cs="宋体"/>
      <w:kern w:val="2"/>
      <w:sz w:val="28"/>
      <w:szCs w:val="18"/>
    </w:rPr>
  </w:style>
  <w:style w:type="character" w:customStyle="1" w:styleId="ac">
    <w:name w:val="正文内容（加重）"/>
    <w:rPr>
      <w:rFonts w:ascii="方正仿宋_GBK" w:eastAsia="方正仿宋_GBK" w:hAnsi="方正仿宋_GBK"/>
      <w:b/>
      <w:sz w:val="32"/>
    </w:rPr>
  </w:style>
  <w:style w:type="paragraph" w:customStyle="1" w:styleId="ad">
    <w:name w:val="附件头"/>
    <w:next w:val="ae"/>
    <w:pPr>
      <w:spacing w:line="580" w:lineRule="exact"/>
    </w:pPr>
    <w:rPr>
      <w:rFonts w:eastAsia="黑体"/>
      <w:sz w:val="32"/>
    </w:rPr>
  </w:style>
  <w:style w:type="paragraph" w:styleId="a5">
    <w:name w:val="footnote text"/>
    <w:basedOn w:val="a"/>
    <w:link w:val="a4"/>
    <w:pPr>
      <w:snapToGrid w:val="0"/>
      <w:jc w:val="left"/>
    </w:pPr>
    <w:rPr>
      <w:sz w:val="18"/>
      <w:szCs w:val="18"/>
    </w:rPr>
  </w:style>
  <w:style w:type="paragraph" w:styleId="a9">
    <w:name w:val="Balloon Text"/>
    <w:basedOn w:val="a"/>
    <w:link w:val="a8"/>
    <w:rPr>
      <w:sz w:val="18"/>
      <w:szCs w:val="18"/>
    </w:rPr>
  </w:style>
  <w:style w:type="paragraph" w:customStyle="1" w:styleId="a0">
    <w:name w:val="正文内容"/>
    <w:basedOn w:val="a"/>
    <w:pPr>
      <w:spacing w:line="580" w:lineRule="exact"/>
      <w:ind w:firstLineChars="200" w:firstLine="880"/>
    </w:pPr>
    <w:rPr>
      <w:rFonts w:ascii="方正仿宋_GBK" w:eastAsia="方正仿宋_GBK" w:hAnsi="方正仿宋_GBK" w:cs="方正仿宋_GBK"/>
      <w:sz w:val="32"/>
      <w:szCs w:val="32"/>
    </w:rPr>
  </w:style>
  <w:style w:type="paragraph" w:customStyle="1" w:styleId="af">
    <w:name w:val="页脚（右）"/>
    <w:basedOn w:val="ab"/>
    <w:pPr>
      <w:jc w:val="right"/>
    </w:pPr>
  </w:style>
  <w:style w:type="paragraph" w:customStyle="1" w:styleId="A38323525">
    <w:name w:val="A3文号+段前83毫米即235.25磅"/>
    <w:basedOn w:val="a"/>
    <w:pPr>
      <w:spacing w:before="4705" w:line="600" w:lineRule="exact"/>
      <w:jc w:val="center"/>
    </w:pPr>
    <w:rPr>
      <w:rFonts w:eastAsia="方正仿宋_GBK"/>
      <w:sz w:val="32"/>
    </w:rPr>
  </w:style>
  <w:style w:type="paragraph" w:customStyle="1" w:styleId="af0">
    <w:name w:val="落款日期"/>
    <w:basedOn w:val="a"/>
    <w:pPr>
      <w:wordWrap w:val="0"/>
      <w:spacing w:line="580" w:lineRule="exact"/>
      <w:ind w:rightChars="400" w:right="840"/>
      <w:jc w:val="right"/>
    </w:pPr>
    <w:rPr>
      <w:rFonts w:ascii="方正仿宋_GBK" w:eastAsia="方正仿宋_GBK" w:hAnsi="方正仿宋_GBK" w:cs="方正仿宋_GBK"/>
      <w:sz w:val="32"/>
      <w:szCs w:val="32"/>
    </w:rPr>
  </w:style>
  <w:style w:type="paragraph" w:customStyle="1" w:styleId="2083">
    <w:name w:val="简函标题+段前20毫米即段前83磅"/>
    <w:basedOn w:val="ae"/>
    <w:next w:val="af1"/>
    <w:pPr>
      <w:spacing w:beforeLines="0" w:before="1660" w:afterLines="0" w:after="100"/>
    </w:pPr>
  </w:style>
  <w:style w:type="paragraph" w:customStyle="1" w:styleId="20">
    <w:name w:val="附件2及其他附件"/>
    <w:basedOn w:val="a"/>
    <w:pPr>
      <w:suppressAutoHyphens/>
      <w:spacing w:line="560" w:lineRule="exact"/>
      <w:ind w:leftChars="750" w:left="2015" w:hangingChars="100" w:hanging="440"/>
    </w:pPr>
    <w:rPr>
      <w:rFonts w:eastAsia="方正仿宋_GBK" w:cs="方正仿宋_GBK"/>
      <w:color w:val="000000"/>
      <w:sz w:val="32"/>
      <w:szCs w:val="32"/>
    </w:rPr>
  </w:style>
  <w:style w:type="paragraph" w:customStyle="1" w:styleId="af2">
    <w:name w:val="附件"/>
    <w:basedOn w:val="a0"/>
    <w:next w:val="af0"/>
    <w:pPr>
      <w:ind w:leftChars="300" w:left="1950" w:hangingChars="300" w:hanging="1320"/>
    </w:pPr>
  </w:style>
  <w:style w:type="paragraph" w:customStyle="1" w:styleId="11">
    <w:name w:val="附件1"/>
    <w:basedOn w:val="a"/>
    <w:next w:val="20"/>
    <w:pPr>
      <w:suppressAutoHyphens/>
      <w:spacing w:line="560" w:lineRule="exact"/>
      <w:ind w:leftChars="300" w:left="2390" w:hangingChars="400" w:hanging="1760"/>
    </w:pPr>
    <w:rPr>
      <w:rFonts w:eastAsia="方正仿宋_GBK" w:cs="方正仿宋_GBK"/>
      <w:color w:val="000000"/>
      <w:sz w:val="32"/>
      <w:szCs w:val="32"/>
    </w:rPr>
  </w:style>
  <w:style w:type="paragraph" w:styleId="af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4">
    <w:name w:val="页脚（左）"/>
    <w:basedOn w:val="ab"/>
  </w:style>
  <w:style w:type="paragraph" w:styleId="ab">
    <w:name w:val="footer"/>
    <w:basedOn w:val="a"/>
    <w:link w:val="aa"/>
    <w:pPr>
      <w:tabs>
        <w:tab w:val="center" w:pos="4153"/>
        <w:tab w:val="right" w:pos="8306"/>
      </w:tabs>
      <w:snapToGrid w:val="0"/>
      <w:jc w:val="left"/>
    </w:pPr>
    <w:rPr>
      <w:rFonts w:ascii="宋体" w:hAnsi="宋体" w:cs="宋体"/>
      <w:sz w:val="28"/>
      <w:szCs w:val="18"/>
    </w:rPr>
  </w:style>
  <w:style w:type="paragraph" w:customStyle="1" w:styleId="ae">
    <w:name w:val="文件标题"/>
    <w:basedOn w:val="a"/>
    <w:pPr>
      <w:spacing w:beforeLines="100" w:before="312" w:afterLines="100" w:after="312" w:line="600" w:lineRule="exact"/>
      <w:jc w:val="center"/>
    </w:pPr>
    <w:rPr>
      <w:rFonts w:ascii="方正小标宋简体" w:eastAsia="方正小标宋简体" w:hAnsi="方正小标宋简体" w:cs="方正小标宋简体"/>
      <w:sz w:val="44"/>
      <w:szCs w:val="44"/>
    </w:rPr>
  </w:style>
  <w:style w:type="paragraph" w:customStyle="1" w:styleId="af1">
    <w:name w:val="正文题头"/>
    <w:basedOn w:val="a"/>
    <w:pPr>
      <w:spacing w:line="580" w:lineRule="exact"/>
    </w:pPr>
    <w:rPr>
      <w:rFonts w:ascii="方正仿宋_GBK" w:eastAsia="方正仿宋_GBK" w:hAnsi="方正仿宋_GBK" w:cs="方正仿宋_GBK"/>
      <w:sz w:val="32"/>
      <w:szCs w:val="32"/>
    </w:rPr>
  </w:style>
  <w:style w:type="character" w:customStyle="1" w:styleId="10">
    <w:name w:val="标题 1 字符"/>
    <w:basedOn w:val="a1"/>
    <w:link w:val="1"/>
    <w:uiPriority w:val="9"/>
    <w:rsid w:val="00CE04A8"/>
    <w:rPr>
      <w:rFonts w:eastAsia="黑体" w:cs="方正仿宋_GBK"/>
      <w:bCs/>
      <w:kern w:val="44"/>
      <w:sz w:val="32"/>
      <w:szCs w:val="32"/>
    </w:rPr>
  </w:style>
  <w:style w:type="paragraph" w:customStyle="1" w:styleId="newstyle15">
    <w:name w:val="newstyle15"/>
    <w:basedOn w:val="a"/>
    <w:rsid w:val="00CE04A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69870">
      <w:bodyDiv w:val="1"/>
      <w:marLeft w:val="0"/>
      <w:marRight w:val="0"/>
      <w:marTop w:val="0"/>
      <w:marBottom w:val="0"/>
      <w:divBdr>
        <w:top w:val="none" w:sz="0" w:space="0" w:color="auto"/>
        <w:left w:val="none" w:sz="0" w:space="0" w:color="auto"/>
        <w:bottom w:val="none" w:sz="0" w:space="0" w:color="auto"/>
        <w:right w:val="none" w:sz="0" w:space="0" w:color="auto"/>
      </w:divBdr>
    </w:div>
    <w:div w:id="20965077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1810</Characters>
  <Application>Microsoft Office Word</Application>
  <DocSecurity>0</DocSecurity>
  <Lines>15</Lines>
  <Paragraphs>4</Paragraphs>
  <ScaleCrop>false</ScaleCrop>
  <Company>微软中国</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重庆市通管局稿纸</dc:title>
  <dc:subject/>
  <dc:creator>洪培耀</dc:creator>
  <cp:keywords>通管局 简函 稿纸</cp:keywords>
  <dc:description/>
  <cp:lastModifiedBy>洪培耀</cp:lastModifiedBy>
  <cp:revision>3</cp:revision>
  <dcterms:created xsi:type="dcterms:W3CDTF">2022-05-18T10:49:00Z</dcterms:created>
  <dcterms:modified xsi:type="dcterms:W3CDTF">2022-05-18T10:52:00Z</dcterms:modified>
</cp:coreProperties>
</file>