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461E5" w:rsidRPr="005461E5" w:rsidRDefault="005461E5" w:rsidP="005461E5">
      <w:pPr>
        <w:widowControl/>
        <w:spacing w:before="100" w:beforeAutospacing="1" w:after="100" w:afterAutospacing="1"/>
        <w:jc w:val="left"/>
        <w:outlineLvl w:val="0"/>
        <w:rPr>
          <w:rFonts w:ascii="宋体" w:hAnsi="宋体" w:cs="宋体"/>
          <w:b/>
          <w:bCs/>
          <w:kern w:val="36"/>
          <w:sz w:val="48"/>
          <w:szCs w:val="48"/>
        </w:rPr>
      </w:pPr>
      <w:bookmarkStart w:id="0" w:name="_GoBack"/>
      <w:bookmarkEnd w:id="0"/>
      <w:r w:rsidRPr="005461E5">
        <w:rPr>
          <w:rFonts w:ascii="宋体" w:hAnsi="宋体" w:cs="宋体"/>
          <w:b/>
          <w:bCs/>
          <w:kern w:val="36"/>
          <w:sz w:val="48"/>
          <w:szCs w:val="48"/>
        </w:rPr>
        <w:t>工业和信息化部办公厅关于进一步加强商务楼宇宽带垄断专项整治工作的通知</w:t>
      </w:r>
    </w:p>
    <w:p w:rsidR="005461E5" w:rsidRPr="005461E5" w:rsidRDefault="005461E5" w:rsidP="005461E5">
      <w:pPr>
        <w:widowControl/>
        <w:snapToGrid w:val="0"/>
        <w:jc w:val="center"/>
        <w:rPr>
          <w:rFonts w:ascii="宋体" w:hAnsi="宋体" w:cs="宋体"/>
          <w:kern w:val="0"/>
          <w:szCs w:val="21"/>
        </w:rPr>
      </w:pPr>
      <w:r w:rsidRPr="005461E5">
        <w:rPr>
          <w:rFonts w:ascii="楷体" w:eastAsia="楷体" w:hAnsi="楷体" w:cs="宋体" w:hint="eastAsia"/>
          <w:b/>
          <w:bCs/>
          <w:kern w:val="0"/>
          <w:sz w:val="24"/>
          <w:szCs w:val="24"/>
        </w:rPr>
        <w:t>工</w:t>
      </w:r>
      <w:proofErr w:type="gramStart"/>
      <w:r w:rsidRPr="005461E5">
        <w:rPr>
          <w:rFonts w:ascii="楷体" w:eastAsia="楷体" w:hAnsi="楷体" w:cs="宋体" w:hint="eastAsia"/>
          <w:b/>
          <w:bCs/>
          <w:kern w:val="0"/>
          <w:sz w:val="24"/>
          <w:szCs w:val="24"/>
        </w:rPr>
        <w:t>信厅通</w:t>
      </w:r>
      <w:proofErr w:type="gramEnd"/>
      <w:r w:rsidRPr="005461E5">
        <w:rPr>
          <w:rFonts w:ascii="楷体" w:eastAsia="楷体" w:hAnsi="楷体" w:cs="宋体" w:hint="eastAsia"/>
          <w:b/>
          <w:bCs/>
          <w:kern w:val="0"/>
          <w:sz w:val="24"/>
          <w:szCs w:val="24"/>
        </w:rPr>
        <w:t>信函〔2020〕162号</w:t>
      </w:r>
      <w:r w:rsidRPr="005461E5">
        <w:rPr>
          <w:rFonts w:ascii="宋体" w:hAnsi="宋体" w:cs="宋体" w:hint="eastAsia"/>
          <w:kern w:val="0"/>
          <w:szCs w:val="21"/>
        </w:rPr>
        <w:br/>
      </w:r>
      <w:r w:rsidRPr="005461E5">
        <w:rPr>
          <w:rFonts w:ascii="宋体" w:hAnsi="宋体" w:cs="宋体" w:hint="eastAsia"/>
          <w:kern w:val="0"/>
          <w:sz w:val="24"/>
          <w:szCs w:val="24"/>
        </w:rPr>
        <w:t xml:space="preserve">  </w:t>
      </w:r>
    </w:p>
    <w:p w:rsidR="005461E5" w:rsidRPr="005461E5" w:rsidRDefault="005461E5" w:rsidP="005461E5">
      <w:pPr>
        <w:widowControl/>
        <w:spacing w:before="100" w:beforeAutospacing="1" w:after="100" w:afterAutospacing="1"/>
        <w:jc w:val="left"/>
        <w:rPr>
          <w:rFonts w:ascii="宋体" w:hAnsi="宋体" w:cs="宋体" w:hint="eastAsia"/>
          <w:kern w:val="0"/>
          <w:szCs w:val="21"/>
        </w:rPr>
      </w:pPr>
      <w:r w:rsidRPr="005461E5">
        <w:rPr>
          <w:rFonts w:ascii="宋体" w:hAnsi="宋体" w:cs="宋体" w:hint="eastAsia"/>
          <w:kern w:val="0"/>
          <w:sz w:val="24"/>
          <w:szCs w:val="24"/>
        </w:rPr>
        <w:t>各省、自治区、直辖市通信管理局，中国电信集团有限公司、中国移动通信集团有限公司、中国联合网络通信集团有限公司、中国广播电视网络有限公司，各互联网网络接入服务企业、宽带接</w:t>
      </w:r>
      <w:proofErr w:type="gramStart"/>
      <w:r w:rsidRPr="005461E5">
        <w:rPr>
          <w:rFonts w:ascii="宋体" w:hAnsi="宋体" w:cs="宋体" w:hint="eastAsia"/>
          <w:kern w:val="0"/>
          <w:sz w:val="24"/>
          <w:szCs w:val="24"/>
        </w:rPr>
        <w:t>入网试点</w:t>
      </w:r>
      <w:proofErr w:type="gramEnd"/>
      <w:r w:rsidRPr="005461E5">
        <w:rPr>
          <w:rFonts w:ascii="宋体" w:hAnsi="宋体" w:cs="宋体" w:hint="eastAsia"/>
          <w:kern w:val="0"/>
          <w:sz w:val="24"/>
          <w:szCs w:val="24"/>
        </w:rPr>
        <w:t>企业：</w:t>
      </w:r>
      <w:r w:rsidRPr="005461E5">
        <w:rPr>
          <w:rFonts w:ascii="宋体" w:hAnsi="宋体" w:cs="宋体" w:hint="eastAsia"/>
          <w:kern w:val="0"/>
          <w:sz w:val="24"/>
          <w:szCs w:val="24"/>
        </w:rPr>
        <w:b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kern w:val="0"/>
          <w:sz w:val="24"/>
          <w:szCs w:val="24"/>
        </w:rPr>
        <w:t>《工业和信息化部办公厅关于整治商务楼宇宽带垄断 优化中小企业发展环境的通知》（工</w:t>
      </w:r>
      <w:proofErr w:type="gramStart"/>
      <w:r w:rsidRPr="005461E5">
        <w:rPr>
          <w:rFonts w:ascii="宋体" w:hAnsi="宋体" w:cs="宋体" w:hint="eastAsia"/>
          <w:kern w:val="0"/>
          <w:sz w:val="24"/>
          <w:szCs w:val="24"/>
        </w:rPr>
        <w:t>信厅通</w:t>
      </w:r>
      <w:proofErr w:type="gramEnd"/>
      <w:r w:rsidRPr="005461E5">
        <w:rPr>
          <w:rFonts w:ascii="宋体" w:hAnsi="宋体" w:cs="宋体" w:hint="eastAsia"/>
          <w:kern w:val="0"/>
          <w:sz w:val="24"/>
          <w:szCs w:val="24"/>
        </w:rPr>
        <w:t>信函〔2018〕395号）印发以来，在各方共同努力下，全国商务楼宇宽带垄断专项整治工作取得积极成效，企业违规行为得到有效遏制，市场秩序得到明显好转。但部分商务楼宇、工业园区宽带被物业、代理商“卡脖子”问题仍然存在，中小企业享受宽带资费下降红利仍然面临“肠梗阻”。为巩固拓展专项整治成果，坚决保障宽带用户合法权益，现就进一步加强商务楼宇宽带垄断专项整治工作通知如下：</w:t>
      </w:r>
      <w:r w:rsidRPr="005461E5">
        <w:rPr>
          <w:rFonts w:ascii="宋体" w:hAnsi="宋体" w:cs="宋体" w:hint="eastAsia"/>
          <w:kern w:val="0"/>
          <w:sz w:val="24"/>
          <w:szCs w:val="24"/>
        </w:rPr>
        <w:b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b/>
          <w:bCs/>
          <w:kern w:val="0"/>
          <w:sz w:val="24"/>
          <w:szCs w:val="24"/>
        </w:rPr>
        <w:t>一、总体要求</w:t>
      </w:r>
      <w:r w:rsidRPr="005461E5">
        <w:rPr>
          <w:rFonts w:ascii="宋体" w:hAnsi="宋体" w:cs="宋体" w:hint="eastAsia"/>
          <w:b/>
          <w:bCs/>
          <w:kern w:val="0"/>
          <w:sz w:val="24"/>
          <w:szCs w:val="24"/>
        </w:rPr>
        <w:br/>
      </w:r>
      <w:r w:rsidRPr="005461E5">
        <w:rPr>
          <w:rFonts w:ascii="宋体" w:hAnsi="宋体" w:cs="宋体" w:hint="eastAsia"/>
          <w:kern w:val="0"/>
          <w:sz w:val="24"/>
          <w:szCs w:val="24"/>
        </w:rP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kern w:val="0"/>
          <w:sz w:val="24"/>
          <w:szCs w:val="24"/>
        </w:rPr>
        <w:lastRenderedPageBreak/>
        <w:t>深入学习贯彻习近平总书记关于统筹推进新冠肺炎疫情防控和经济社会发展工作的重要讲话精神，落实《政府工作报告》部署，在疫情防控新常态前提下，以打通中小企业享受提速降</w:t>
      </w:r>
      <w:proofErr w:type="gramStart"/>
      <w:r w:rsidRPr="005461E5">
        <w:rPr>
          <w:rFonts w:ascii="宋体" w:hAnsi="宋体" w:cs="宋体" w:hint="eastAsia"/>
          <w:kern w:val="0"/>
          <w:sz w:val="24"/>
          <w:szCs w:val="24"/>
        </w:rPr>
        <w:t>费政策</w:t>
      </w:r>
      <w:proofErr w:type="gramEnd"/>
      <w:r w:rsidRPr="005461E5">
        <w:rPr>
          <w:rFonts w:ascii="宋体" w:hAnsi="宋体" w:cs="宋体" w:hint="eastAsia"/>
          <w:kern w:val="0"/>
          <w:sz w:val="24"/>
          <w:szCs w:val="24"/>
        </w:rPr>
        <w:t>红利瓶颈为目标，持续保持高压整治态势，依法严查严处，落实企业主体责任，扎实推动问题整改，持续规范宽带市场秩序、进一步保障用户合法权益。</w:t>
      </w:r>
      <w:r w:rsidRPr="005461E5">
        <w:rPr>
          <w:rFonts w:ascii="宋体" w:hAnsi="宋体" w:cs="宋体" w:hint="eastAsia"/>
          <w:kern w:val="0"/>
          <w:sz w:val="24"/>
          <w:szCs w:val="24"/>
        </w:rPr>
        <w:b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b/>
          <w:bCs/>
          <w:kern w:val="0"/>
          <w:sz w:val="24"/>
          <w:szCs w:val="24"/>
        </w:rPr>
        <w:t>二、重点任务</w:t>
      </w:r>
      <w:r w:rsidRPr="005461E5">
        <w:rPr>
          <w:rFonts w:ascii="宋体" w:hAnsi="宋体" w:cs="宋体" w:hint="eastAsia"/>
          <w:b/>
          <w:bCs/>
          <w:kern w:val="0"/>
          <w:sz w:val="24"/>
          <w:szCs w:val="24"/>
        </w:rPr>
        <w:br/>
      </w:r>
      <w:r w:rsidRPr="005461E5">
        <w:rPr>
          <w:rFonts w:ascii="宋体" w:hAnsi="宋体" w:cs="宋体" w:hint="eastAsia"/>
          <w:kern w:val="0"/>
          <w:sz w:val="24"/>
          <w:szCs w:val="24"/>
        </w:rP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kern w:val="0"/>
          <w:sz w:val="24"/>
          <w:szCs w:val="24"/>
        </w:rPr>
        <w:t>（一）企业或其代理商是否与房地产开发企业、物业管理公司等达成排他性协议或约定限制平等接入，是否存在通过其他方式约束限制其他电信业务经营者公平接入和使用的情形，是否规范自身及代理商经营行为。</w:t>
      </w:r>
      <w:r w:rsidRPr="005461E5">
        <w:rPr>
          <w:rFonts w:ascii="宋体" w:hAnsi="宋体" w:cs="宋体" w:hint="eastAsia"/>
          <w:kern w:val="0"/>
          <w:sz w:val="24"/>
          <w:szCs w:val="24"/>
        </w:rPr>
        <w:b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kern w:val="0"/>
          <w:sz w:val="24"/>
          <w:szCs w:val="24"/>
        </w:rPr>
        <w:t>（二）企业是否合理制定宽带接入资费方案，是否以“清单”方式公示所有面向市场销售的在售资费方案。</w:t>
      </w:r>
      <w:r w:rsidRPr="005461E5">
        <w:rPr>
          <w:rFonts w:ascii="宋体" w:hAnsi="宋体" w:cs="宋体" w:hint="eastAsia"/>
          <w:kern w:val="0"/>
          <w:sz w:val="24"/>
          <w:szCs w:val="24"/>
        </w:rPr>
        <w:b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kern w:val="0"/>
          <w:sz w:val="24"/>
          <w:szCs w:val="24"/>
        </w:rPr>
        <w:t>（三）企业是否存在各类接入资源违规使用的情形，是否存在为无经营许可证的单位或者个人提供用于经营电信业务的电信资源或者提供网络接入、业务接入服务的情形，是否严格审核资源租用方资质和用途，是否已完成商务楼宇宽带接入业务自查自纠。</w:t>
      </w:r>
      <w:r w:rsidRPr="005461E5">
        <w:rPr>
          <w:rFonts w:ascii="宋体" w:hAnsi="宋体" w:cs="宋体" w:hint="eastAsia"/>
          <w:kern w:val="0"/>
          <w:sz w:val="24"/>
          <w:szCs w:val="24"/>
        </w:rPr>
        <w:b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b/>
          <w:bCs/>
          <w:kern w:val="0"/>
          <w:sz w:val="24"/>
          <w:szCs w:val="24"/>
        </w:rPr>
        <w:lastRenderedPageBreak/>
        <w:t>三、组织实施</w:t>
      </w:r>
      <w:r w:rsidRPr="005461E5">
        <w:rPr>
          <w:rFonts w:ascii="宋体" w:hAnsi="宋体" w:cs="宋体" w:hint="eastAsia"/>
          <w:b/>
          <w:bCs/>
          <w:kern w:val="0"/>
          <w:sz w:val="24"/>
          <w:szCs w:val="24"/>
        </w:rPr>
        <w:br/>
      </w:r>
      <w:r w:rsidRPr="005461E5">
        <w:rPr>
          <w:rFonts w:ascii="宋体" w:hAnsi="宋体" w:cs="宋体" w:hint="eastAsia"/>
          <w:kern w:val="0"/>
          <w:sz w:val="24"/>
          <w:szCs w:val="24"/>
        </w:rP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kern w:val="0"/>
          <w:sz w:val="24"/>
          <w:szCs w:val="24"/>
        </w:rPr>
        <w:t>（一）全面部署阶段（2020年7月9日—7月24日）。工业和信息化</w:t>
      </w:r>
      <w:proofErr w:type="gramStart"/>
      <w:r w:rsidRPr="005461E5">
        <w:rPr>
          <w:rFonts w:ascii="宋体" w:hAnsi="宋体" w:cs="宋体" w:hint="eastAsia"/>
          <w:kern w:val="0"/>
          <w:sz w:val="24"/>
          <w:szCs w:val="24"/>
        </w:rPr>
        <w:t>部</w:t>
      </w:r>
      <w:proofErr w:type="gramEnd"/>
      <w:r w:rsidRPr="005461E5">
        <w:rPr>
          <w:rFonts w:ascii="宋体" w:hAnsi="宋体" w:cs="宋体" w:hint="eastAsia"/>
          <w:kern w:val="0"/>
          <w:sz w:val="24"/>
          <w:szCs w:val="24"/>
        </w:rPr>
        <w:t>部署进一步加强商务楼宇宽带垄断专项整治工作，各企业制定具体落实方案报属地通信管理局，明确整治工作安排。</w:t>
      </w:r>
      <w:r w:rsidRPr="005461E5">
        <w:rPr>
          <w:rFonts w:ascii="宋体" w:hAnsi="宋体" w:cs="宋体" w:hint="eastAsia"/>
          <w:kern w:val="0"/>
          <w:sz w:val="24"/>
          <w:szCs w:val="24"/>
        </w:rPr>
        <w:b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kern w:val="0"/>
          <w:sz w:val="24"/>
          <w:szCs w:val="24"/>
        </w:rPr>
        <w:t>（二）自查自纠阶段（7月25日—9月30日）。各企业围绕重点任务全面梳理，逐项盘点形成检视问题清单，边查边改、立行立改。各通信管理局检查企业问题梳理情况，督促企业明确整改措施，确保排查问题全部整改完成。</w:t>
      </w:r>
      <w:r w:rsidRPr="005461E5">
        <w:rPr>
          <w:rFonts w:ascii="宋体" w:hAnsi="宋体" w:cs="宋体" w:hint="eastAsia"/>
          <w:kern w:val="0"/>
          <w:sz w:val="24"/>
          <w:szCs w:val="24"/>
        </w:rPr>
        <w:b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kern w:val="0"/>
          <w:sz w:val="24"/>
          <w:szCs w:val="24"/>
        </w:rPr>
        <w:t>（三）总结检查阶段（10月1日-12月底）。各通信管理局检查企业问题清单整改落实情况，举一反三，完善有关制度规定。各企业对问题整改落实情况进行全面总结，并书面报属地通信管理局。各通信管理局对本地区专项整治情况进行总结，</w:t>
      </w:r>
      <w:proofErr w:type="gramStart"/>
      <w:r w:rsidRPr="005461E5">
        <w:rPr>
          <w:rFonts w:ascii="宋体" w:hAnsi="宋体" w:cs="宋体" w:hint="eastAsia"/>
          <w:kern w:val="0"/>
          <w:sz w:val="24"/>
          <w:szCs w:val="24"/>
        </w:rPr>
        <w:t>各基础</w:t>
      </w:r>
      <w:proofErr w:type="gramEnd"/>
      <w:r w:rsidRPr="005461E5">
        <w:rPr>
          <w:rFonts w:ascii="宋体" w:hAnsi="宋体" w:cs="宋体" w:hint="eastAsia"/>
          <w:kern w:val="0"/>
          <w:sz w:val="24"/>
          <w:szCs w:val="24"/>
        </w:rPr>
        <w:t>电信企业集团公司对本集团专项整治情况进行总结。</w:t>
      </w:r>
      <w:r w:rsidRPr="005461E5">
        <w:rPr>
          <w:rFonts w:ascii="宋体" w:hAnsi="宋体" w:cs="宋体" w:hint="eastAsia"/>
          <w:kern w:val="0"/>
          <w:sz w:val="24"/>
          <w:szCs w:val="24"/>
        </w:rPr>
        <w:b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b/>
          <w:bCs/>
          <w:kern w:val="0"/>
          <w:sz w:val="24"/>
          <w:szCs w:val="24"/>
        </w:rPr>
        <w:t>四、保障措施</w:t>
      </w:r>
      <w:r w:rsidRPr="005461E5">
        <w:rPr>
          <w:rFonts w:ascii="宋体" w:hAnsi="宋体" w:cs="宋体" w:hint="eastAsia"/>
          <w:b/>
          <w:bCs/>
          <w:kern w:val="0"/>
          <w:sz w:val="24"/>
          <w:szCs w:val="24"/>
        </w:rPr>
        <w:br/>
      </w:r>
      <w:r w:rsidRPr="005461E5">
        <w:rPr>
          <w:rFonts w:ascii="宋体" w:hAnsi="宋体" w:cs="宋体" w:hint="eastAsia"/>
          <w:kern w:val="0"/>
          <w:sz w:val="24"/>
          <w:szCs w:val="24"/>
        </w:rP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kern w:val="0"/>
          <w:sz w:val="24"/>
          <w:szCs w:val="24"/>
        </w:rPr>
        <w:t>（一）加强组织领导。各通信管理局要加强组织领导，成立工作专班，加强监督检查，推动整治工作落到实处。各企业要牢固树立以人民为中心的发展思想，以切实减轻</w:t>
      </w:r>
      <w:r w:rsidRPr="005461E5">
        <w:rPr>
          <w:rFonts w:ascii="宋体" w:hAnsi="宋体" w:cs="宋体" w:hint="eastAsia"/>
          <w:kern w:val="0"/>
          <w:sz w:val="24"/>
          <w:szCs w:val="24"/>
        </w:rPr>
        <w:lastRenderedPageBreak/>
        <w:t>中小企业经营负担为目标，坚持问题导向，对照重点任务，全面梳理问题，明确解决措施，逐一整改落实。</w:t>
      </w:r>
      <w:r w:rsidRPr="005461E5">
        <w:rPr>
          <w:rFonts w:ascii="宋体" w:hAnsi="宋体" w:cs="宋体" w:hint="eastAsia"/>
          <w:kern w:val="0"/>
          <w:sz w:val="24"/>
          <w:szCs w:val="24"/>
        </w:rPr>
        <w:b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kern w:val="0"/>
          <w:sz w:val="24"/>
          <w:szCs w:val="24"/>
        </w:rPr>
        <w:t>（二）密切协作配合。各通信管理局要持续加强与当地住房城乡建设、市场监督管理、公安等部门的沟通协调，协同推进专项整治工作，配合贯彻《综合布线系统工程设计规范》等国家标准，合力解决商务楼宇宽带垄断突出问题。</w:t>
      </w:r>
      <w:r w:rsidRPr="005461E5">
        <w:rPr>
          <w:rFonts w:ascii="宋体" w:hAnsi="宋体" w:cs="宋体" w:hint="eastAsia"/>
          <w:kern w:val="0"/>
          <w:sz w:val="24"/>
          <w:szCs w:val="24"/>
        </w:rPr>
        <w:b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kern w:val="0"/>
          <w:sz w:val="24"/>
          <w:szCs w:val="24"/>
        </w:rPr>
        <w:t>（三）严格监督执法。各通信管理局要加强突击检查和随机抽查，对于群众反映及媒体曝光的问题线索及时调查核实；对于受到依法行政处理、处罚的企业，要纳入电信业务经营不良或失信名单，并向社会公示曝光。</w:t>
      </w:r>
      <w:r w:rsidRPr="005461E5">
        <w:rPr>
          <w:rFonts w:ascii="宋体" w:hAnsi="宋体" w:cs="宋体" w:hint="eastAsia"/>
          <w:kern w:val="0"/>
          <w:sz w:val="24"/>
          <w:szCs w:val="24"/>
        </w:rPr>
        <w:br/>
        <w:t xml:space="preserve">  </w:t>
      </w:r>
    </w:p>
    <w:p w:rsidR="005461E5" w:rsidRPr="005461E5" w:rsidRDefault="005461E5" w:rsidP="005461E5">
      <w:pPr>
        <w:widowControl/>
        <w:spacing w:before="100" w:beforeAutospacing="1" w:after="100" w:afterAutospacing="1"/>
        <w:ind w:firstLine="480"/>
        <w:jc w:val="left"/>
        <w:rPr>
          <w:rFonts w:ascii="宋体" w:hAnsi="宋体" w:cs="宋体" w:hint="eastAsia"/>
          <w:kern w:val="0"/>
          <w:szCs w:val="21"/>
        </w:rPr>
      </w:pPr>
      <w:r w:rsidRPr="005461E5">
        <w:rPr>
          <w:rFonts w:ascii="宋体" w:hAnsi="宋体" w:cs="宋体" w:hint="eastAsia"/>
          <w:kern w:val="0"/>
          <w:sz w:val="24"/>
          <w:szCs w:val="24"/>
        </w:rPr>
        <w:t>（四）畅通投诉渠道。各通信管理局、各企业要通过公布举报投诉电话及邮箱、开展用户面对面座谈等方式，畅通举报投诉渠道，及时了解并协调处理用户反映的问题。</w:t>
      </w:r>
      <w:r w:rsidRPr="005461E5">
        <w:rPr>
          <w:rFonts w:ascii="宋体" w:hAnsi="宋体" w:cs="宋体" w:hint="eastAsia"/>
          <w:kern w:val="0"/>
          <w:sz w:val="24"/>
          <w:szCs w:val="24"/>
        </w:rPr>
        <w:br/>
        <w:t xml:space="preserve">  </w:t>
      </w:r>
    </w:p>
    <w:p w:rsidR="005461E5" w:rsidRPr="005461E5" w:rsidRDefault="005461E5" w:rsidP="005461E5">
      <w:pPr>
        <w:widowControl/>
        <w:spacing w:before="100" w:beforeAutospacing="1" w:after="240"/>
        <w:ind w:firstLine="480"/>
        <w:jc w:val="left"/>
        <w:rPr>
          <w:rFonts w:ascii="宋体" w:hAnsi="宋体" w:cs="宋体" w:hint="eastAsia"/>
          <w:kern w:val="0"/>
          <w:szCs w:val="21"/>
        </w:rPr>
      </w:pPr>
      <w:r w:rsidRPr="005461E5">
        <w:rPr>
          <w:rFonts w:ascii="宋体" w:hAnsi="宋体" w:cs="宋体" w:hint="eastAsia"/>
          <w:kern w:val="0"/>
          <w:sz w:val="24"/>
          <w:szCs w:val="24"/>
        </w:rPr>
        <w:t>请各通信管理局和中国电信集团有限公司、中国移动通信集团有限公司、中国联合网络通信集团有限公司、中国广播电视网络有限公司于2020年12月底前将本地区和本集团的专项整治工作总结报部（信息通信发展司、信息通信管理局）。</w:t>
      </w:r>
      <w:r w:rsidRPr="005461E5">
        <w:rPr>
          <w:rFonts w:ascii="宋体" w:hAnsi="宋体" w:cs="宋体" w:hint="eastAsia"/>
          <w:kern w:val="0"/>
          <w:sz w:val="24"/>
          <w:szCs w:val="24"/>
        </w:rPr>
        <w:br/>
        <w:t xml:space="preserve">  </w:t>
      </w:r>
    </w:p>
    <w:p w:rsidR="005461E5" w:rsidRPr="005461E5" w:rsidRDefault="005461E5" w:rsidP="005461E5">
      <w:pPr>
        <w:widowControl/>
        <w:spacing w:before="100" w:beforeAutospacing="1" w:after="100" w:afterAutospacing="1"/>
        <w:ind w:firstLine="480"/>
        <w:jc w:val="right"/>
        <w:rPr>
          <w:rFonts w:ascii="宋体" w:hAnsi="宋体" w:cs="宋体" w:hint="eastAsia"/>
          <w:kern w:val="0"/>
          <w:szCs w:val="21"/>
        </w:rPr>
      </w:pPr>
      <w:r w:rsidRPr="005461E5">
        <w:rPr>
          <w:rFonts w:ascii="宋体" w:hAnsi="宋体" w:cs="宋体" w:hint="eastAsia"/>
          <w:kern w:val="0"/>
          <w:sz w:val="24"/>
          <w:szCs w:val="24"/>
        </w:rPr>
        <w:lastRenderedPageBreak/>
        <w:t>工业和信息化部办公厅</w:t>
      </w:r>
      <w:r w:rsidRPr="005461E5">
        <w:rPr>
          <w:rFonts w:ascii="宋体" w:hAnsi="宋体" w:cs="宋体" w:hint="eastAsia"/>
          <w:kern w:val="0"/>
          <w:sz w:val="24"/>
          <w:szCs w:val="24"/>
        </w:rPr>
        <w:br/>
        <w:t>2020年7月9日</w:t>
      </w:r>
    </w:p>
    <w:p w:rsidR="005C5BE7" w:rsidRPr="005461E5" w:rsidRDefault="005C5BE7" w:rsidP="00A63D1F"/>
    <w:sectPr w:rsidR="005C5BE7" w:rsidRPr="005461E5">
      <w:footerReference w:type="even" r:id="rId7"/>
      <w:footerReference w:type="default" r:id="rId8"/>
      <w:footerReference w:type="first" r:id="rId9"/>
      <w:pgSz w:w="11906" w:h="16838"/>
      <w:pgMar w:top="1757" w:right="1587" w:bottom="1757" w:left="1587" w:header="851" w:footer="992" w:gutter="0"/>
      <w:cols w:space="720"/>
      <w:titlePg/>
      <w:docGrid w:type="linesAndChars" w:linePitch="605" w:charSpace="-32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55A" w:rsidRDefault="00EF455A">
      <w:r>
        <w:separator/>
      </w:r>
    </w:p>
  </w:endnote>
  <w:endnote w:type="continuationSeparator" w:id="0">
    <w:p w:rsidR="00EF455A" w:rsidRDefault="00EF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Tinos">
    <w:altName w:val="Traditional Arabic"/>
    <w:charset w:val="00"/>
    <w:family w:val="auto"/>
    <w:pitch w:val="default"/>
    <w:sig w:usb0="E0000AFF" w:usb1="500078FF" w:usb2="00000029" w:usb3="00000000" w:csb0="600001BF" w:csb1="DFF7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54" w:rsidRDefault="00705454">
    <w:pPr>
      <w:pStyle w:val="ab"/>
    </w:pPr>
    <w:r>
      <w:rPr>
        <w:rFonts w:hint="eastAsia"/>
      </w:rPr>
      <w:t xml:space="preserve">— </w:t>
    </w:r>
    <w:r>
      <w:fldChar w:fldCharType="begin"/>
    </w:r>
    <w:r>
      <w:instrText>PAGE   \* MERGEFORMAT</w:instrText>
    </w:r>
    <w:r>
      <w:fldChar w:fldCharType="separate"/>
    </w:r>
    <w:r w:rsidR="005461E5" w:rsidRPr="005461E5">
      <w:rPr>
        <w:noProof/>
        <w:lang w:val="zh-CN"/>
      </w:rPr>
      <w:t>4</w:t>
    </w:r>
    <w:r>
      <w:fldChar w:fldCharType="end"/>
    </w:r>
    <w:r>
      <w:t xml:space="preserve"> </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54" w:rsidRDefault="00705454">
    <w:pPr>
      <w:pStyle w:val="ab"/>
      <w:wordWrap w:val="0"/>
      <w:jc w:val="right"/>
      <w:rPr>
        <w:lang w:val="zh-CN"/>
      </w:rPr>
    </w:pPr>
    <w:r>
      <w:rPr>
        <w:rFonts w:hint="eastAsia"/>
      </w:rPr>
      <w:t xml:space="preserve">— </w:t>
    </w:r>
    <w:r>
      <w:fldChar w:fldCharType="begin"/>
    </w:r>
    <w:r>
      <w:instrText>PAGE   \* MERGEFORMAT</w:instrText>
    </w:r>
    <w:r>
      <w:fldChar w:fldCharType="separate"/>
    </w:r>
    <w:r w:rsidR="005461E5" w:rsidRPr="005461E5">
      <w:rPr>
        <w:noProof/>
        <w:lang w:val="zh-CN"/>
      </w:rPr>
      <w:t>5</w:t>
    </w:r>
    <w:r>
      <w:fldChar w:fldCharType="end"/>
    </w:r>
    <w:r>
      <w:t xml:space="preserve"> </w:t>
    </w: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54" w:rsidRDefault="00705454">
    <w:pPr>
      <w:pStyle w:val="ab"/>
      <w:wordWrap w:val="0"/>
      <w:jc w:val="right"/>
    </w:pPr>
    <w:r>
      <w:rPr>
        <w:rFonts w:hint="eastAsia"/>
      </w:rPr>
      <w:t xml:space="preserve">— </w:t>
    </w:r>
    <w:r>
      <w:fldChar w:fldCharType="begin"/>
    </w:r>
    <w:r>
      <w:instrText>PAGE   \* MERGEFORMAT</w:instrText>
    </w:r>
    <w:r>
      <w:fldChar w:fldCharType="separate"/>
    </w:r>
    <w:r w:rsidR="005461E5" w:rsidRPr="005461E5">
      <w:rPr>
        <w:noProof/>
        <w:lang w:val="zh-CN"/>
      </w:rPr>
      <w:t>1</w:t>
    </w:r>
    <w:r>
      <w:fldChar w:fldCharType="end"/>
    </w:r>
    <w: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55A" w:rsidRDefault="00EF455A">
      <w:r>
        <w:separator/>
      </w:r>
    </w:p>
  </w:footnote>
  <w:footnote w:type="continuationSeparator" w:id="0">
    <w:p w:rsidR="00EF455A" w:rsidRDefault="00EF4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chineseCounting"/>
      <w:pStyle w:val="1"/>
      <w:suff w:val="nothing"/>
      <w:lvlText w:val="%1、"/>
      <w:lvlJc w:val="left"/>
      <w:pPr>
        <w:ind w:left="0" w:firstLine="0"/>
      </w:pPr>
      <w:rPr>
        <w:rFonts w:ascii="黑体" w:eastAsia="黑体" w:hAnsi="黑体" w:cs="宋体" w:hint="eastAsia"/>
        <w:kern w:val="2"/>
        <w:sz w:val="32"/>
        <w:szCs w:val="32"/>
      </w:rPr>
    </w:lvl>
    <w:lvl w:ilvl="1">
      <w:start w:val="1"/>
      <w:numFmt w:val="chineseCounting"/>
      <w:pStyle w:val="2"/>
      <w:suff w:val="nothing"/>
      <w:lvlText w:val="（%2）"/>
      <w:lvlJc w:val="left"/>
      <w:pPr>
        <w:ind w:left="0" w:firstLine="0"/>
      </w:pPr>
      <w:rPr>
        <w:rFonts w:ascii="楷体" w:eastAsia="楷体_GB2312" w:hAnsi="楷体" w:cs="宋体" w:hint="eastAsia"/>
        <w:kern w:val="2"/>
        <w:sz w:val="32"/>
        <w:szCs w:val="32"/>
      </w:rPr>
    </w:lvl>
    <w:lvl w:ilvl="2">
      <w:start w:val="1"/>
      <w:numFmt w:val="decimal"/>
      <w:pStyle w:val="3"/>
      <w:suff w:val="nothing"/>
      <w:lvlText w:val="%3．"/>
      <w:lvlJc w:val="left"/>
      <w:pPr>
        <w:ind w:left="0" w:firstLine="400"/>
      </w:pPr>
      <w:rPr>
        <w:rFonts w:ascii="Tinos" w:eastAsia="方正仿宋_GBK" w:hAnsi="Tinos" w:cs="宋体" w:hint="eastAsia"/>
        <w:kern w:val="2"/>
        <w:sz w:val="32"/>
        <w:szCs w:val="32"/>
      </w:rPr>
    </w:lvl>
    <w:lvl w:ilvl="3">
      <w:start w:val="1"/>
      <w:numFmt w:val="decimal"/>
      <w:pStyle w:val="4"/>
      <w:suff w:val="nothing"/>
      <w:lvlText w:val="（%4）"/>
      <w:lvlJc w:val="left"/>
      <w:pPr>
        <w:ind w:left="0" w:firstLine="402"/>
      </w:pPr>
      <w:rPr>
        <w:rFonts w:ascii="Tinos" w:eastAsia="方正仿宋_GBK" w:hAnsi="Tinos" w:cs="宋体" w:hint="eastAsia"/>
        <w:sz w:val="32"/>
        <w:szCs w:val="32"/>
      </w:rPr>
    </w:lvl>
    <w:lvl w:ilvl="4">
      <w:start w:val="1"/>
      <w:numFmt w:val="decimal"/>
      <w:pStyle w:val="5"/>
      <w:suff w:val="nothing"/>
      <w:lvlText w:val=""/>
      <w:lvlJc w:val="left"/>
      <w:pPr>
        <w:ind w:left="0" w:firstLine="402"/>
      </w:pPr>
      <w:rPr>
        <w:rFonts w:ascii="宋体" w:eastAsia="宋体" w:hAnsi="宋体" w:cs="宋体" w:hint="eastAsia"/>
      </w:rPr>
    </w:lvl>
    <w:lvl w:ilvl="5">
      <w:start w:val="1"/>
      <w:numFmt w:val="decimal"/>
      <w:pStyle w:val="6"/>
      <w:suff w:val="nothing"/>
      <w:lvlText w:val=""/>
      <w:lvlJc w:val="left"/>
      <w:pPr>
        <w:ind w:left="0" w:firstLine="402"/>
      </w:pPr>
      <w:rPr>
        <w:rFonts w:ascii="宋体" w:eastAsia="宋体" w:hAnsi="宋体" w:cs="宋体" w:hint="eastAsia"/>
      </w:rPr>
    </w:lvl>
    <w:lvl w:ilvl="6">
      <w:start w:val="1"/>
      <w:numFmt w:val="decimal"/>
      <w:pStyle w:val="7"/>
      <w:suff w:val="nothing"/>
      <w:lvlText w:val=""/>
      <w:lvlJc w:val="left"/>
      <w:pPr>
        <w:ind w:left="0" w:firstLine="402"/>
      </w:pPr>
      <w:rPr>
        <w:rFonts w:ascii="宋体" w:eastAsia="宋体" w:hAnsi="宋体" w:cs="宋体" w:hint="eastAsia"/>
      </w:rPr>
    </w:lvl>
    <w:lvl w:ilvl="7">
      <w:start w:val="1"/>
      <w:numFmt w:val="decimal"/>
      <w:pStyle w:val="8"/>
      <w:suff w:val="nothing"/>
      <w:lvlText w:val=""/>
      <w:lvlJc w:val="left"/>
      <w:pPr>
        <w:ind w:left="0" w:firstLine="402"/>
      </w:pPr>
      <w:rPr>
        <w:rFonts w:ascii="宋体" w:eastAsia="宋体" w:hAnsi="宋体" w:cs="宋体" w:hint="eastAsia"/>
      </w:rPr>
    </w:lvl>
    <w:lvl w:ilvl="8">
      <w:start w:val="1"/>
      <w:numFmt w:val="decimal"/>
      <w:pStyle w:val="9"/>
      <w:suff w:val="nothing"/>
      <w:lvlText w:val=""/>
      <w:lvlJc w:val="left"/>
      <w:pPr>
        <w:ind w:left="0" w:firstLine="402"/>
      </w:pPr>
      <w:rPr>
        <w:rFonts w:ascii="宋体" w:eastAsia="宋体" w:hAnsi="宋体" w:cs="宋体"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97"/>
  <w:drawingGridVerticalSpacing w:val="303"/>
  <w:displayHorizontalDrawingGridEvery w:val="2"/>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3A8"/>
    <w:rsid w:val="002673A8"/>
    <w:rsid w:val="005461E5"/>
    <w:rsid w:val="005C5BE7"/>
    <w:rsid w:val="00644534"/>
    <w:rsid w:val="00705454"/>
    <w:rsid w:val="00A63D1F"/>
    <w:rsid w:val="00EF455A"/>
    <w:rsid w:val="17433BE1"/>
    <w:rsid w:val="4BFF8ED5"/>
    <w:rsid w:val="52500053"/>
    <w:rsid w:val="7268F875"/>
    <w:rsid w:val="77FF701E"/>
    <w:rsid w:val="7FDFF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559F64F1"/>
  <w15:chartTrackingRefBased/>
  <w15:docId w15:val="{127C6A91-5084-4B6F-A0B3-6AABCD8F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nos" w:eastAsia="宋体" w:hAnsi="Tinos" w:cs="Tinos"/>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0"/>
    <w:link w:val="10"/>
    <w:uiPriority w:val="9"/>
    <w:qFormat/>
    <w:pPr>
      <w:numPr>
        <w:numId w:val="1"/>
      </w:numPr>
      <w:spacing w:line="560" w:lineRule="exact"/>
      <w:ind w:firstLineChars="200" w:firstLine="200"/>
      <w:jc w:val="left"/>
      <w:outlineLvl w:val="0"/>
    </w:pPr>
    <w:rPr>
      <w:rFonts w:eastAsia="黑体" w:cs="方正仿宋_GBK"/>
      <w:bCs/>
      <w:kern w:val="44"/>
      <w:sz w:val="32"/>
      <w:szCs w:val="32"/>
    </w:rPr>
  </w:style>
  <w:style w:type="paragraph" w:styleId="2">
    <w:name w:val="heading 2"/>
    <w:basedOn w:val="a"/>
    <w:next w:val="a0"/>
    <w:qFormat/>
    <w:pPr>
      <w:numPr>
        <w:ilvl w:val="1"/>
        <w:numId w:val="1"/>
      </w:numPr>
      <w:ind w:firstLineChars="200" w:firstLine="640"/>
      <w:jc w:val="left"/>
      <w:outlineLvl w:val="1"/>
    </w:pPr>
    <w:rPr>
      <w:rFonts w:ascii="方正楷体_GBK" w:eastAsia="方正楷体_GBK" w:cs="方正仿宋_GBK"/>
      <w:bCs/>
      <w:sz w:val="32"/>
      <w:szCs w:val="32"/>
    </w:rPr>
  </w:style>
  <w:style w:type="paragraph" w:styleId="3">
    <w:name w:val="heading 3"/>
    <w:basedOn w:val="a"/>
    <w:next w:val="a0"/>
    <w:qFormat/>
    <w:pPr>
      <w:numPr>
        <w:ilvl w:val="2"/>
        <w:numId w:val="1"/>
      </w:numPr>
      <w:spacing w:line="560" w:lineRule="exact"/>
      <w:ind w:firstLineChars="200" w:firstLine="420"/>
      <w:jc w:val="left"/>
      <w:outlineLvl w:val="2"/>
    </w:pPr>
    <w:rPr>
      <w:rFonts w:eastAsia="方正仿宋_GBK" w:cs="方正仿宋_GBK"/>
      <w:sz w:val="32"/>
      <w:szCs w:val="32"/>
    </w:rPr>
  </w:style>
  <w:style w:type="paragraph" w:styleId="4">
    <w:name w:val="heading 4"/>
    <w:basedOn w:val="a"/>
    <w:next w:val="a0"/>
    <w:qFormat/>
    <w:pPr>
      <w:numPr>
        <w:ilvl w:val="3"/>
        <w:numId w:val="1"/>
      </w:numPr>
      <w:spacing w:line="560" w:lineRule="exact"/>
      <w:ind w:firstLineChars="200" w:firstLine="420"/>
      <w:jc w:val="left"/>
      <w:outlineLvl w:val="3"/>
    </w:pPr>
    <w:rPr>
      <w:rFonts w:eastAsia="方正仿宋_GBK" w:cs="方正仿宋_GBK"/>
      <w:sz w:val="32"/>
      <w:szCs w:val="32"/>
    </w:rPr>
  </w:style>
  <w:style w:type="paragraph" w:styleId="5">
    <w:name w:val="heading 5"/>
    <w:basedOn w:val="a"/>
    <w:next w:val="a"/>
    <w:qFormat/>
    <w:pPr>
      <w:keepNext/>
      <w:keepLines/>
      <w:numPr>
        <w:ilvl w:val="4"/>
        <w:numId w:val="1"/>
      </w:numPr>
      <w:spacing w:before="280" w:after="290" w:line="372" w:lineRule="auto"/>
      <w:outlineLvl w:val="4"/>
    </w:pPr>
    <w:rPr>
      <w:b/>
      <w:sz w:val="28"/>
    </w:rPr>
  </w:style>
  <w:style w:type="paragraph" w:styleId="6">
    <w:name w:val="heading 6"/>
    <w:basedOn w:val="a"/>
    <w:next w:val="a"/>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qFormat/>
    <w:pPr>
      <w:keepNext/>
      <w:keepLines/>
      <w:numPr>
        <w:ilvl w:val="6"/>
        <w:numId w:val="1"/>
      </w:numPr>
      <w:spacing w:before="240" w:after="64" w:line="317" w:lineRule="auto"/>
      <w:outlineLvl w:val="6"/>
    </w:pPr>
    <w:rPr>
      <w:b/>
      <w:sz w:val="24"/>
    </w:rPr>
  </w:style>
  <w:style w:type="paragraph" w:styleId="8">
    <w:name w:val="heading 8"/>
    <w:basedOn w:val="a"/>
    <w:next w:val="a"/>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qFormat/>
    <w:pPr>
      <w:keepNext/>
      <w:keepLines/>
      <w:numPr>
        <w:ilvl w:val="8"/>
        <w:numId w:val="1"/>
      </w:numPr>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脚注文本 字符"/>
    <w:link w:val="a5"/>
    <w:rPr>
      <w:kern w:val="2"/>
      <w:sz w:val="18"/>
      <w:szCs w:val="18"/>
    </w:rPr>
  </w:style>
  <w:style w:type="character" w:styleId="a6">
    <w:name w:val="footnote reference"/>
    <w:rPr>
      <w:vertAlign w:val="superscript"/>
    </w:rPr>
  </w:style>
  <w:style w:type="character" w:customStyle="1" w:styleId="a7">
    <w:name w:val="正文内容（字符）"/>
    <w:rPr>
      <w:rFonts w:ascii="Tinos" w:eastAsia="方正仿宋_GBK" w:hAnsi="Tinos"/>
      <w:sz w:val="32"/>
    </w:rPr>
  </w:style>
  <w:style w:type="character" w:customStyle="1" w:styleId="a8">
    <w:name w:val="批注框文本 字符"/>
    <w:link w:val="a9"/>
    <w:rPr>
      <w:kern w:val="2"/>
      <w:sz w:val="18"/>
      <w:szCs w:val="18"/>
    </w:rPr>
  </w:style>
  <w:style w:type="character" w:customStyle="1" w:styleId="aa">
    <w:name w:val="页脚 字符"/>
    <w:link w:val="ab"/>
    <w:rPr>
      <w:rFonts w:ascii="宋体" w:eastAsia="宋体" w:hAnsi="宋体" w:cs="宋体"/>
      <w:kern w:val="2"/>
      <w:sz w:val="28"/>
      <w:szCs w:val="18"/>
    </w:rPr>
  </w:style>
  <w:style w:type="character" w:customStyle="1" w:styleId="ac">
    <w:name w:val="正文内容（加重）"/>
    <w:rPr>
      <w:rFonts w:ascii="方正仿宋_GBK" w:eastAsia="方正仿宋_GBK" w:hAnsi="方正仿宋_GBK"/>
      <w:b/>
      <w:sz w:val="32"/>
    </w:rPr>
  </w:style>
  <w:style w:type="paragraph" w:customStyle="1" w:styleId="ad">
    <w:name w:val="附件头"/>
    <w:next w:val="ae"/>
    <w:pPr>
      <w:spacing w:line="580" w:lineRule="exact"/>
    </w:pPr>
    <w:rPr>
      <w:rFonts w:eastAsia="黑体"/>
      <w:sz w:val="32"/>
    </w:rPr>
  </w:style>
  <w:style w:type="paragraph" w:styleId="a5">
    <w:name w:val="footnote text"/>
    <w:basedOn w:val="a"/>
    <w:link w:val="a4"/>
    <w:pPr>
      <w:snapToGrid w:val="0"/>
      <w:jc w:val="left"/>
    </w:pPr>
    <w:rPr>
      <w:sz w:val="18"/>
      <w:szCs w:val="18"/>
    </w:rPr>
  </w:style>
  <w:style w:type="paragraph" w:styleId="a9">
    <w:name w:val="Balloon Text"/>
    <w:basedOn w:val="a"/>
    <w:link w:val="a8"/>
    <w:rPr>
      <w:sz w:val="18"/>
      <w:szCs w:val="18"/>
    </w:rPr>
  </w:style>
  <w:style w:type="paragraph" w:customStyle="1" w:styleId="a0">
    <w:name w:val="正文内容"/>
    <w:basedOn w:val="a"/>
    <w:pPr>
      <w:spacing w:line="580" w:lineRule="exact"/>
      <w:ind w:firstLineChars="200" w:firstLine="880"/>
    </w:pPr>
    <w:rPr>
      <w:rFonts w:ascii="方正仿宋_GBK" w:eastAsia="方正仿宋_GBK" w:hAnsi="方正仿宋_GBK" w:cs="方正仿宋_GBK"/>
      <w:sz w:val="32"/>
      <w:szCs w:val="32"/>
    </w:rPr>
  </w:style>
  <w:style w:type="paragraph" w:customStyle="1" w:styleId="af">
    <w:name w:val="页脚（右）"/>
    <w:basedOn w:val="ab"/>
    <w:pPr>
      <w:jc w:val="right"/>
    </w:pPr>
  </w:style>
  <w:style w:type="paragraph" w:customStyle="1" w:styleId="A38323525">
    <w:name w:val="A3文号+段前83毫米即235.25磅"/>
    <w:basedOn w:val="a"/>
    <w:pPr>
      <w:spacing w:before="4705" w:line="600" w:lineRule="exact"/>
      <w:jc w:val="center"/>
    </w:pPr>
    <w:rPr>
      <w:rFonts w:eastAsia="方正仿宋_GBK"/>
      <w:sz w:val="32"/>
    </w:rPr>
  </w:style>
  <w:style w:type="paragraph" w:customStyle="1" w:styleId="af0">
    <w:name w:val="落款日期"/>
    <w:basedOn w:val="a"/>
    <w:pPr>
      <w:wordWrap w:val="0"/>
      <w:spacing w:line="580" w:lineRule="exact"/>
      <w:ind w:rightChars="400" w:right="840"/>
      <w:jc w:val="right"/>
    </w:pPr>
    <w:rPr>
      <w:rFonts w:ascii="方正仿宋_GBK" w:eastAsia="方正仿宋_GBK" w:hAnsi="方正仿宋_GBK" w:cs="方正仿宋_GBK"/>
      <w:sz w:val="32"/>
      <w:szCs w:val="32"/>
    </w:rPr>
  </w:style>
  <w:style w:type="paragraph" w:customStyle="1" w:styleId="2083">
    <w:name w:val="简函标题+段前20毫米即段前83磅"/>
    <w:basedOn w:val="ae"/>
    <w:next w:val="af1"/>
    <w:pPr>
      <w:spacing w:beforeLines="0" w:before="1660" w:afterLines="0" w:after="100"/>
    </w:pPr>
  </w:style>
  <w:style w:type="paragraph" w:customStyle="1" w:styleId="20">
    <w:name w:val="附件2及其他附件"/>
    <w:basedOn w:val="a"/>
    <w:pPr>
      <w:suppressAutoHyphens/>
      <w:spacing w:line="560" w:lineRule="exact"/>
      <w:ind w:leftChars="750" w:left="2015" w:hangingChars="100" w:hanging="440"/>
    </w:pPr>
    <w:rPr>
      <w:rFonts w:eastAsia="方正仿宋_GBK" w:cs="方正仿宋_GBK"/>
      <w:color w:val="000000"/>
      <w:sz w:val="32"/>
      <w:szCs w:val="32"/>
    </w:rPr>
  </w:style>
  <w:style w:type="paragraph" w:customStyle="1" w:styleId="af2">
    <w:name w:val="附件"/>
    <w:basedOn w:val="a0"/>
    <w:next w:val="af0"/>
    <w:pPr>
      <w:ind w:leftChars="300" w:left="1950" w:hangingChars="300" w:hanging="1320"/>
    </w:pPr>
  </w:style>
  <w:style w:type="paragraph" w:customStyle="1" w:styleId="11">
    <w:name w:val="附件1"/>
    <w:basedOn w:val="a"/>
    <w:next w:val="20"/>
    <w:pPr>
      <w:suppressAutoHyphens/>
      <w:spacing w:line="560" w:lineRule="exact"/>
      <w:ind w:leftChars="300" w:left="2390" w:hangingChars="400" w:hanging="1760"/>
    </w:pPr>
    <w:rPr>
      <w:rFonts w:eastAsia="方正仿宋_GBK" w:cs="方正仿宋_GBK"/>
      <w:color w:val="000000"/>
      <w:sz w:val="32"/>
      <w:szCs w:val="32"/>
    </w:rPr>
  </w:style>
  <w:style w:type="paragraph" w:styleId="af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f4">
    <w:name w:val="页脚（左）"/>
    <w:basedOn w:val="ab"/>
  </w:style>
  <w:style w:type="paragraph" w:styleId="ab">
    <w:name w:val="footer"/>
    <w:basedOn w:val="a"/>
    <w:link w:val="aa"/>
    <w:pPr>
      <w:tabs>
        <w:tab w:val="center" w:pos="4153"/>
        <w:tab w:val="right" w:pos="8306"/>
      </w:tabs>
      <w:snapToGrid w:val="0"/>
      <w:jc w:val="left"/>
    </w:pPr>
    <w:rPr>
      <w:rFonts w:ascii="宋体" w:hAnsi="宋体" w:cs="宋体"/>
      <w:sz w:val="28"/>
      <w:szCs w:val="18"/>
    </w:rPr>
  </w:style>
  <w:style w:type="paragraph" w:customStyle="1" w:styleId="ae">
    <w:name w:val="文件标题"/>
    <w:basedOn w:val="a"/>
    <w:pPr>
      <w:spacing w:beforeLines="100" w:before="312" w:afterLines="100" w:after="312" w:line="600" w:lineRule="exact"/>
      <w:jc w:val="center"/>
    </w:pPr>
    <w:rPr>
      <w:rFonts w:ascii="方正小标宋简体" w:eastAsia="方正小标宋简体" w:hAnsi="方正小标宋简体" w:cs="方正小标宋简体"/>
      <w:sz w:val="44"/>
      <w:szCs w:val="44"/>
    </w:rPr>
  </w:style>
  <w:style w:type="paragraph" w:customStyle="1" w:styleId="af1">
    <w:name w:val="正文题头"/>
    <w:basedOn w:val="a"/>
    <w:pPr>
      <w:spacing w:line="580" w:lineRule="exact"/>
    </w:pPr>
    <w:rPr>
      <w:rFonts w:ascii="方正仿宋_GBK" w:eastAsia="方正仿宋_GBK" w:hAnsi="方正仿宋_GBK" w:cs="方正仿宋_GBK"/>
      <w:sz w:val="32"/>
      <w:szCs w:val="32"/>
    </w:rPr>
  </w:style>
  <w:style w:type="character" w:customStyle="1" w:styleId="10">
    <w:name w:val="标题 1 字符"/>
    <w:basedOn w:val="a1"/>
    <w:link w:val="1"/>
    <w:uiPriority w:val="9"/>
    <w:rsid w:val="005461E5"/>
    <w:rPr>
      <w:rFonts w:eastAsia="黑体" w:cs="方正仿宋_GBK"/>
      <w:bCs/>
      <w:kern w:val="44"/>
      <w:sz w:val="32"/>
      <w:szCs w:val="32"/>
    </w:rPr>
  </w:style>
  <w:style w:type="paragraph" w:customStyle="1" w:styleId="p0">
    <w:name w:val="p0"/>
    <w:basedOn w:val="a"/>
    <w:rsid w:val="005461E5"/>
    <w:pPr>
      <w:widowControl/>
      <w:spacing w:before="100" w:beforeAutospacing="1" w:after="100" w:afterAutospacing="1"/>
      <w:jc w:val="left"/>
    </w:pPr>
    <w:rPr>
      <w:rFonts w:ascii="宋体" w:hAnsi="宋体" w:cs="宋体"/>
      <w:kern w:val="0"/>
      <w:sz w:val="24"/>
      <w:szCs w:val="24"/>
    </w:rPr>
  </w:style>
  <w:style w:type="character" w:styleId="af5">
    <w:name w:val="Strong"/>
    <w:basedOn w:val="a1"/>
    <w:uiPriority w:val="22"/>
    <w:qFormat/>
    <w:rsid w:val="005461E5"/>
    <w:rPr>
      <w:b/>
      <w:bCs/>
    </w:rPr>
  </w:style>
  <w:style w:type="paragraph" w:styleId="af6">
    <w:name w:val="Normal (Web)"/>
    <w:basedOn w:val="a"/>
    <w:uiPriority w:val="99"/>
    <w:unhideWhenUsed/>
    <w:rsid w:val="005461E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865315">
      <w:bodyDiv w:val="1"/>
      <w:marLeft w:val="0"/>
      <w:marRight w:val="0"/>
      <w:marTop w:val="0"/>
      <w:marBottom w:val="0"/>
      <w:divBdr>
        <w:top w:val="none" w:sz="0" w:space="0" w:color="auto"/>
        <w:left w:val="none" w:sz="0" w:space="0" w:color="auto"/>
        <w:bottom w:val="none" w:sz="0" w:space="0" w:color="auto"/>
        <w:right w:val="none" w:sz="0" w:space="0" w:color="auto"/>
      </w:divBdr>
      <w:divsChild>
        <w:div w:id="1900482269">
          <w:marLeft w:val="0"/>
          <w:marRight w:val="0"/>
          <w:marTop w:val="0"/>
          <w:marBottom w:val="0"/>
          <w:divBdr>
            <w:top w:val="none" w:sz="0" w:space="0" w:color="auto"/>
            <w:left w:val="none" w:sz="0" w:space="0" w:color="auto"/>
            <w:bottom w:val="none" w:sz="0" w:space="0" w:color="auto"/>
            <w:right w:val="none" w:sz="0" w:space="0" w:color="auto"/>
          </w:divBdr>
        </w:div>
        <w:div w:id="886844615">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255</Words>
  <Characters>1456</Characters>
  <Application>Microsoft Office Word</Application>
  <DocSecurity>0</DocSecurity>
  <Lines>12</Lines>
  <Paragraphs>3</Paragraphs>
  <ScaleCrop>false</ScaleCrop>
  <Company>微软中国</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重庆市通管局稿纸</dc:title>
  <dc:subject/>
  <dc:creator>洪培耀</dc:creator>
  <cp:keywords>通管局 简函 稿纸</cp:keywords>
  <dc:description/>
  <cp:lastModifiedBy>洪培耀</cp:lastModifiedBy>
  <cp:revision>3</cp:revision>
  <dcterms:created xsi:type="dcterms:W3CDTF">2022-05-18T10:49:00Z</dcterms:created>
  <dcterms:modified xsi:type="dcterms:W3CDTF">2022-05-18T11:01:00Z</dcterms:modified>
</cp:coreProperties>
</file>